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F80C1" w14:textId="1E3938FC" w:rsidR="00825069" w:rsidRPr="0093645A" w:rsidRDefault="005742AB" w:rsidP="0031780B">
      <w:pPr>
        <w:pStyle w:val="Heading1"/>
        <w:jc w:val="left"/>
      </w:pPr>
      <w:r w:rsidRPr="0093645A">
        <w:t xml:space="preserve">Letter of Intent for participation in the Advisory Board of the </w:t>
      </w:r>
      <w:r w:rsidR="00EF485B" w:rsidRPr="0093645A">
        <w:t>M</w:t>
      </w:r>
      <w:r w:rsidR="00786987" w:rsidRPr="0093645A">
        <w:t xml:space="preserve">oonshot </w:t>
      </w:r>
      <w:r w:rsidR="000041CB">
        <w:t>path</w:t>
      </w:r>
      <w:r w:rsidR="00A14B86" w:rsidRPr="0093645A">
        <w:t xml:space="preserve"> </w:t>
      </w:r>
      <w:r w:rsidR="006E0C64" w:rsidRPr="006E0C64">
        <w:t>Circularity of Carbon in Materials</w:t>
      </w:r>
      <w:r w:rsidR="006E0C64">
        <w:t xml:space="preserve"> </w:t>
      </w:r>
      <w:r w:rsidR="00465FC9">
        <w:t>202</w:t>
      </w:r>
      <w:r w:rsidR="00720620">
        <w:t>6</w:t>
      </w:r>
    </w:p>
    <w:p w14:paraId="49BBBF18" w14:textId="77777777" w:rsidR="003B2AFB" w:rsidRPr="00A215DB" w:rsidRDefault="003B2AFB" w:rsidP="00EF485B">
      <w:pPr>
        <w:pStyle w:val="NoSpacing"/>
      </w:pPr>
    </w:p>
    <w:p w14:paraId="1F992C50" w14:textId="62DA4513" w:rsidR="00400180" w:rsidRPr="00EF485B" w:rsidRDefault="00825069" w:rsidP="00EF485B">
      <w:pPr>
        <w:pStyle w:val="NoSpacing"/>
      </w:pPr>
      <w:r w:rsidRPr="00EF485B">
        <w:t xml:space="preserve">Undersigned, </w:t>
      </w:r>
      <w:r w:rsidRPr="00961564">
        <w:rPr>
          <w:highlight w:val="yellow"/>
        </w:rPr>
        <w:t>[Company]</w:t>
      </w:r>
      <w:r w:rsidRPr="00EF485B">
        <w:t>,</w:t>
      </w:r>
      <w:r w:rsidR="005742AB" w:rsidRPr="00EF485B">
        <w:t xml:space="preserve"> </w:t>
      </w:r>
      <w:r w:rsidRPr="00EF485B">
        <w:t xml:space="preserve">with registered seat located at </w:t>
      </w:r>
      <w:r w:rsidRPr="00961564">
        <w:rPr>
          <w:highlight w:val="yellow"/>
        </w:rPr>
        <w:t>[Address]</w:t>
      </w:r>
      <w:r w:rsidRPr="00EF485B">
        <w:t xml:space="preserve">, duly represented by </w:t>
      </w:r>
      <w:r w:rsidRPr="00961564">
        <w:rPr>
          <w:highlight w:val="yellow"/>
        </w:rPr>
        <w:t>[</w:t>
      </w:r>
      <w:r w:rsidR="00220DFF" w:rsidRPr="00961564">
        <w:rPr>
          <w:highlight w:val="yellow"/>
        </w:rPr>
        <w:t>Name of Legal Representative]</w:t>
      </w:r>
      <w:r w:rsidRPr="00EF485B">
        <w:t xml:space="preserve">, confirms it is strongly interested in the technology development </w:t>
      </w:r>
      <w:r w:rsidR="00216DBE" w:rsidRPr="00EF485B">
        <w:t xml:space="preserve">within </w:t>
      </w:r>
      <w:r w:rsidRPr="00EF485B">
        <w:t xml:space="preserve">the </w:t>
      </w:r>
      <w:r w:rsidR="00CD4691">
        <w:t>M</w:t>
      </w:r>
      <w:r w:rsidR="00B56212" w:rsidRPr="00EF485B">
        <w:t xml:space="preserve">oonshot </w:t>
      </w:r>
      <w:r w:rsidR="000041CB">
        <w:t>path</w:t>
      </w:r>
      <w:r w:rsidR="002B4675" w:rsidRPr="00EF485B">
        <w:t xml:space="preserve"> </w:t>
      </w:r>
      <w:r w:rsidR="006E0C64" w:rsidRPr="006E0C64">
        <w:t>Circularity of Carbon in Materials</w:t>
      </w:r>
      <w:r w:rsidR="0014721A" w:rsidRPr="00EF485B">
        <w:t>.</w:t>
      </w:r>
    </w:p>
    <w:p w14:paraId="2A977B02" w14:textId="51AF1F50" w:rsidR="00511FF9" w:rsidRPr="00A215DB" w:rsidRDefault="00511FF9" w:rsidP="00EF485B">
      <w:pPr>
        <w:pStyle w:val="NoSpacing"/>
      </w:pPr>
    </w:p>
    <w:p w14:paraId="5B7C4D36" w14:textId="76FBE4EC" w:rsidR="003B2AFB" w:rsidRPr="0093645A" w:rsidRDefault="000041CB" w:rsidP="0093645A">
      <w:pPr>
        <w:pStyle w:val="Heading2"/>
      </w:pPr>
      <w:r>
        <w:t>Path</w:t>
      </w:r>
      <w:r w:rsidR="003B2AFB" w:rsidRPr="0093645A">
        <w:t xml:space="preserve"> ‘</w:t>
      </w:r>
      <w:r w:rsidR="006E0C64" w:rsidRPr="006E0C64">
        <w:t>Circularity of Carbon in Materials</w:t>
      </w:r>
      <w:r w:rsidR="003B2AFB" w:rsidRPr="0093645A">
        <w:t xml:space="preserve">’ </w:t>
      </w:r>
    </w:p>
    <w:p w14:paraId="33F7C55B" w14:textId="78871536" w:rsidR="003B2AFB" w:rsidRPr="00D90BF5" w:rsidRDefault="00D90BF5" w:rsidP="00EF485B">
      <w:pPr>
        <w:pStyle w:val="NoSpacing"/>
      </w:pPr>
      <w:r>
        <w:t xml:space="preserve">The second Moonshot path aims at the development of a circular production and use chain of carbon and carbon-containing materials. The main objective of this </w:t>
      </w:r>
      <w:r w:rsidR="0FE03B78">
        <w:t>path</w:t>
      </w:r>
      <w:r>
        <w:t xml:space="preserve"> is to keep carbon in materials in circulation for as long as possible (throughout the value chain). The initial focus here is on plastics, which are omnipresent in our daily lives and which offer a wide range of properties and possibilities. For example, lightweight and innovative plastic materials in means of transport help to save energy, and packaging materials (usually made up of several layers of plastic) ensure that food can be stored in a reliable way, consequently reducing food waste. At the end of the life cycle of plastics, however, there are still major challenges, such as increasing the recycling percentage of plastics, which means that the added value per ton of carbon (as input) can be increased considerably. Extensive research into the mechanical and chemical recycling of complex plastics, which contain several types of material, will ensure that, at the end of their cycle of use, products can be transformed into building blocks for new products. Attention is paid to the development of innovative materials and their use in specific designs to improve the recyclability of products. Even with the above concepts, a (small) fraction of virgin raw materials will be needed to compensate for imperfections in recycling and reuse. Non-fossil raw materials can be used as necessary supplement, such as bio-based monomers (link with </w:t>
      </w:r>
      <w:r w:rsidR="00EE5266">
        <w:t>Path</w:t>
      </w:r>
      <w:r>
        <w:t>1) and monomers made from the direct reuse of captured CO</w:t>
      </w:r>
      <w:r w:rsidRPr="7F45A29B">
        <w:rPr>
          <w:vertAlign w:val="subscript"/>
        </w:rPr>
        <w:t>2</w:t>
      </w:r>
      <w:r>
        <w:t xml:space="preserve"> (so-called ‘Carbon Capture and Utilization (CCU)’) (link with</w:t>
      </w:r>
      <w:r w:rsidR="00EE5266">
        <w:t xml:space="preserve"> Path</w:t>
      </w:r>
      <w:r>
        <w:t>3). Overall, the impact of these scenarios on sustainability will have to be studied and monitored thoroughly in order to create a true circular plastics economy. </w:t>
      </w:r>
    </w:p>
    <w:p w14:paraId="23629D8F" w14:textId="77777777" w:rsidR="0036403F" w:rsidRDefault="0036403F" w:rsidP="00A36036">
      <w:pPr>
        <w:pStyle w:val="NoSpacing"/>
      </w:pPr>
    </w:p>
    <w:p w14:paraId="097CE65E" w14:textId="6512DFF2" w:rsidR="006A7687" w:rsidRDefault="006A7687" w:rsidP="006A7687">
      <w:pPr>
        <w:pStyle w:val="NoSpacing"/>
        <w:rPr>
          <w:lang w:val="en-US"/>
        </w:rPr>
      </w:pPr>
      <w:r w:rsidRPr="005742AB">
        <w:rPr>
          <w:highlight w:val="yellow"/>
          <w:lang w:val="en-US"/>
        </w:rPr>
        <w:t>[Company]</w:t>
      </w:r>
      <w:r>
        <w:rPr>
          <w:lang w:val="en-US"/>
        </w:rPr>
        <w:t xml:space="preserve"> is interested in this Moonshot </w:t>
      </w:r>
      <w:r w:rsidR="000041CB">
        <w:rPr>
          <w:lang w:val="en-US"/>
        </w:rPr>
        <w:t>path</w:t>
      </w:r>
      <w:r>
        <w:rPr>
          <w:lang w:val="en-US"/>
        </w:rPr>
        <w:t xml:space="preserve"> because …</w:t>
      </w:r>
    </w:p>
    <w:p w14:paraId="4709ED52" w14:textId="77777777" w:rsidR="00147529" w:rsidRDefault="00147529" w:rsidP="00147529">
      <w:pPr>
        <w:spacing w:after="0" w:line="240" w:lineRule="auto"/>
        <w:jc w:val="both"/>
        <w:rPr>
          <w:rFonts w:ascii="Arial" w:hAnsi="Arial" w:cs="Arial"/>
          <w:color w:val="083756"/>
          <w:spacing w:val="22"/>
          <w:sz w:val="20"/>
          <w:szCs w:val="20"/>
          <w:lang w:val="en-US"/>
        </w:rPr>
      </w:pPr>
    </w:p>
    <w:p w14:paraId="56079AA1" w14:textId="126B3A19" w:rsidR="000321B7" w:rsidRDefault="000321B7" w:rsidP="000321B7">
      <w:pPr>
        <w:pStyle w:val="NoSpacing"/>
        <w:rPr>
          <w:i/>
          <w:iCs/>
          <w:lang w:val="en-US"/>
        </w:rPr>
      </w:pPr>
      <w:r w:rsidRPr="001C3989">
        <w:rPr>
          <w:i/>
          <w:iCs/>
          <w:highlight w:val="yellow"/>
          <w:lang w:val="en-US"/>
        </w:rPr>
        <w:t>Please describe</w:t>
      </w:r>
      <w:r>
        <w:rPr>
          <w:i/>
          <w:iCs/>
          <w:highlight w:val="yellow"/>
          <w:lang w:val="en-US"/>
        </w:rPr>
        <w:t xml:space="preserve">, </w:t>
      </w:r>
      <w:r w:rsidRPr="001C3989">
        <w:rPr>
          <w:i/>
          <w:iCs/>
          <w:highlight w:val="yellow"/>
          <w:lang w:val="en-US"/>
        </w:rPr>
        <w:t>as detailed as possible</w:t>
      </w:r>
      <w:r>
        <w:rPr>
          <w:i/>
          <w:iCs/>
          <w:highlight w:val="yellow"/>
          <w:lang w:val="en-US"/>
        </w:rPr>
        <w:t>,</w:t>
      </w:r>
      <w:r w:rsidRPr="001C3989">
        <w:rPr>
          <w:i/>
          <w:iCs/>
          <w:highlight w:val="yellow"/>
          <w:lang w:val="en-US"/>
        </w:rPr>
        <w:t xml:space="preserve"> the interest of your company in this </w:t>
      </w:r>
      <w:r>
        <w:rPr>
          <w:i/>
          <w:iCs/>
          <w:highlight w:val="yellow"/>
          <w:lang w:val="en-US"/>
        </w:rPr>
        <w:t>M</w:t>
      </w:r>
      <w:r w:rsidRPr="001C3989">
        <w:rPr>
          <w:i/>
          <w:iCs/>
          <w:highlight w:val="yellow"/>
          <w:lang w:val="en-US"/>
        </w:rPr>
        <w:t xml:space="preserve">oonshot </w:t>
      </w:r>
      <w:r w:rsidR="000041CB">
        <w:rPr>
          <w:i/>
          <w:iCs/>
          <w:highlight w:val="yellow"/>
          <w:lang w:val="en-US"/>
        </w:rPr>
        <w:t>path</w:t>
      </w:r>
      <w:r w:rsidRPr="001C3989">
        <w:rPr>
          <w:i/>
          <w:iCs/>
          <w:highlight w:val="yellow"/>
          <w:lang w:val="en-US"/>
        </w:rPr>
        <w:t>.</w:t>
      </w:r>
    </w:p>
    <w:p w14:paraId="65A240D6" w14:textId="77777777" w:rsidR="00147529" w:rsidRPr="001C3989" w:rsidRDefault="00147529" w:rsidP="00147529">
      <w:pPr>
        <w:spacing w:after="0" w:line="240" w:lineRule="auto"/>
        <w:jc w:val="both"/>
        <w:rPr>
          <w:rFonts w:ascii="Arial" w:hAnsi="Arial" w:cs="Arial"/>
          <w:i/>
          <w:iCs/>
          <w:color w:val="083756"/>
          <w:spacing w:val="22"/>
          <w:sz w:val="18"/>
          <w:szCs w:val="18"/>
          <w:lang w:val="en-US"/>
        </w:rPr>
      </w:pPr>
    </w:p>
    <w:p w14:paraId="797CFDA3" w14:textId="77777777" w:rsidR="00147529" w:rsidRDefault="00147529" w:rsidP="00152BFF">
      <w:pPr>
        <w:spacing w:after="0" w:line="240" w:lineRule="auto"/>
        <w:jc w:val="both"/>
        <w:rPr>
          <w:rFonts w:ascii="Arial" w:hAnsi="Arial" w:cs="Arial"/>
          <w:color w:val="083756"/>
          <w:spacing w:val="22"/>
          <w:sz w:val="20"/>
          <w:szCs w:val="20"/>
          <w:lang w:val="en-US"/>
        </w:rPr>
      </w:pPr>
    </w:p>
    <w:p w14:paraId="3368F455" w14:textId="5FE2A718" w:rsidR="00561A26" w:rsidRPr="00F00A5E" w:rsidRDefault="00561A26" w:rsidP="00561A26">
      <w:pPr>
        <w:pStyle w:val="NoSpacing"/>
      </w:pPr>
      <w:r w:rsidRPr="00F00A5E">
        <w:t xml:space="preserve">In addition, </w:t>
      </w:r>
      <w:r w:rsidRPr="00F00A5E">
        <w:rPr>
          <w:highlight w:val="yellow"/>
        </w:rPr>
        <w:t>[Company]</w:t>
      </w:r>
      <w:r w:rsidRPr="00F00A5E">
        <w:t xml:space="preserve"> is interested in the following Moonshot </w:t>
      </w:r>
      <w:r w:rsidR="00106531">
        <w:t>Early Stage Innovation</w:t>
      </w:r>
      <w:r w:rsidR="00296F3B">
        <w:t xml:space="preserve"> project</w:t>
      </w:r>
      <w:r w:rsidR="00720620">
        <w:t>(s)</w:t>
      </w:r>
      <w:r w:rsidR="00296F3B">
        <w:t xml:space="preserve"> (ESI</w:t>
      </w:r>
      <w:r w:rsidR="000041CB">
        <w:t>)</w:t>
      </w:r>
      <w:r w:rsidRPr="00F00A5E">
        <w:t xml:space="preserve"> within the </w:t>
      </w:r>
      <w:r w:rsidR="007A5CA8" w:rsidRPr="006E0C64">
        <w:t>Circularity of Carbon in Materials</w:t>
      </w:r>
      <w:r w:rsidR="007A5CA8">
        <w:t xml:space="preserve"> </w:t>
      </w:r>
      <w:r w:rsidR="000041CB">
        <w:t>path</w:t>
      </w:r>
      <w:r w:rsidRPr="00F00A5E">
        <w:t>:</w:t>
      </w:r>
    </w:p>
    <w:p w14:paraId="073AFFDC" w14:textId="78CAE22A" w:rsidR="003B2AFB" w:rsidRPr="00561A26" w:rsidRDefault="003B2AFB" w:rsidP="00152BFF">
      <w:pPr>
        <w:spacing w:after="0" w:line="240" w:lineRule="auto"/>
        <w:jc w:val="both"/>
        <w:rPr>
          <w:rFonts w:ascii="Arial" w:hAnsi="Arial" w:cs="Arial"/>
          <w:color w:val="083756"/>
          <w:spacing w:val="22"/>
          <w:sz w:val="20"/>
          <w:szCs w:val="20"/>
          <w:lang w:val="en-GB"/>
        </w:rPr>
      </w:pPr>
    </w:p>
    <w:p w14:paraId="62E26D6C" w14:textId="3489114E" w:rsidR="000041CB" w:rsidRDefault="00000000" w:rsidP="00766D51">
      <w:pPr>
        <w:pStyle w:val="NoSpacing"/>
        <w:ind w:left="705" w:hanging="705"/>
        <w:rPr>
          <w:b/>
          <w:bCs/>
        </w:rPr>
      </w:pPr>
      <w:sdt>
        <w:sdtPr>
          <w:rPr>
            <w:b/>
            <w:bCs/>
            <w:lang w:val="en-US"/>
          </w:rPr>
          <w:id w:val="992137029"/>
          <w14:checkbox>
            <w14:checked w14:val="0"/>
            <w14:checkedState w14:val="2612" w14:font="MS Gothic"/>
            <w14:uncheckedState w14:val="2610" w14:font="MS Gothic"/>
          </w14:checkbox>
        </w:sdtPr>
        <w:sdtContent>
          <w:r w:rsidR="00465FC9">
            <w:rPr>
              <w:rFonts w:ascii="MS Gothic" w:eastAsia="MS Gothic" w:hAnsi="MS Gothic" w:hint="eastAsia"/>
              <w:b/>
              <w:bCs/>
              <w:lang w:val="en-US"/>
            </w:rPr>
            <w:t>☐</w:t>
          </w:r>
        </w:sdtContent>
      </w:sdt>
      <w:r w:rsidR="00465FC9">
        <w:rPr>
          <w:b/>
          <w:bCs/>
          <w:lang w:val="en-US"/>
        </w:rPr>
        <w:tab/>
      </w:r>
      <w:r w:rsidR="00766D51">
        <w:rPr>
          <w:b/>
          <w:bCs/>
          <w:lang w:val="en-US"/>
        </w:rPr>
        <w:t>ALLIANCE</w:t>
      </w:r>
      <w:r w:rsidR="00453D12">
        <w:rPr>
          <w:b/>
          <w:bCs/>
          <w:lang w:val="en-US"/>
        </w:rPr>
        <w:t>:</w:t>
      </w:r>
      <w:r w:rsidR="00766D51" w:rsidRPr="00766D51">
        <w:t xml:space="preserve"> </w:t>
      </w:r>
      <w:r w:rsidR="00766D51" w:rsidRPr="00766D51">
        <w:rPr>
          <w:b/>
          <w:bCs/>
          <w:lang w:val="en-US"/>
        </w:rPr>
        <w:t>A</w:t>
      </w:r>
      <w:r w:rsidR="00766D51">
        <w:rPr>
          <w:b/>
          <w:bCs/>
          <w:lang w:val="en-US"/>
        </w:rPr>
        <w:t>lliance of Mechanical and Chemical Recycling to Bridge the Gap in U</w:t>
      </w:r>
      <w:r w:rsidR="00AF50CB">
        <w:rPr>
          <w:b/>
          <w:bCs/>
          <w:lang w:val="en-US"/>
        </w:rPr>
        <w:t>nrecyclable Textile Plastics</w:t>
      </w:r>
    </w:p>
    <w:p w14:paraId="06568F8F" w14:textId="77777777" w:rsidR="00766D51" w:rsidRDefault="00766D51" w:rsidP="00766D51">
      <w:pPr>
        <w:pStyle w:val="NoSpacing"/>
        <w:rPr>
          <w:b/>
          <w:bCs/>
        </w:rPr>
      </w:pPr>
      <w:sdt>
        <w:sdtPr>
          <w:rPr>
            <w:b/>
            <w:bCs/>
            <w:lang w:val="en-US"/>
          </w:rPr>
          <w:id w:val="1112099100"/>
          <w14:checkbox>
            <w14:checked w14:val="0"/>
            <w14:checkedState w14:val="2612" w14:font="MS Gothic"/>
            <w14:uncheckedState w14:val="2610" w14:font="MS Gothic"/>
          </w14:checkbox>
        </w:sdtPr>
        <w:sdtContent>
          <w:r>
            <w:rPr>
              <w:rFonts w:ascii="MS Gothic" w:eastAsia="MS Gothic" w:hAnsi="MS Gothic" w:hint="eastAsia"/>
              <w:b/>
              <w:bCs/>
              <w:lang w:val="en-US"/>
            </w:rPr>
            <w:t>☐</w:t>
          </w:r>
        </w:sdtContent>
      </w:sdt>
      <w:r>
        <w:rPr>
          <w:b/>
          <w:bCs/>
          <w:lang w:val="en-US"/>
        </w:rPr>
        <w:tab/>
        <w:t xml:space="preserve">DIPLO: </w:t>
      </w:r>
      <w:r w:rsidRPr="00453D12">
        <w:rPr>
          <w:b/>
          <w:bCs/>
        </w:rPr>
        <w:t>DIrect Plastic waste conversion to Light Olefins</w:t>
      </w:r>
    </w:p>
    <w:p w14:paraId="6FEEDCAF" w14:textId="1BC86009" w:rsidR="002B4069" w:rsidRDefault="00000000" w:rsidP="00B24767">
      <w:pPr>
        <w:pStyle w:val="NoSpacing"/>
        <w:ind w:left="705" w:hanging="705"/>
        <w:rPr>
          <w:b/>
          <w:bCs/>
        </w:rPr>
      </w:pPr>
      <w:sdt>
        <w:sdtPr>
          <w:rPr>
            <w:b/>
            <w:bCs/>
            <w:lang w:val="en-US"/>
          </w:rPr>
          <w:id w:val="-274796496"/>
          <w14:checkbox>
            <w14:checked w14:val="0"/>
            <w14:checkedState w14:val="2612" w14:font="MS Gothic"/>
            <w14:uncheckedState w14:val="2610" w14:font="MS Gothic"/>
          </w14:checkbox>
        </w:sdtPr>
        <w:sdtContent>
          <w:r w:rsidR="002B4069">
            <w:rPr>
              <w:rFonts w:ascii="MS Gothic" w:eastAsia="MS Gothic" w:hAnsi="MS Gothic" w:hint="eastAsia"/>
              <w:b/>
              <w:bCs/>
              <w:lang w:val="en-US"/>
            </w:rPr>
            <w:t>☐</w:t>
          </w:r>
        </w:sdtContent>
      </w:sdt>
      <w:r w:rsidR="002B4069">
        <w:rPr>
          <w:b/>
          <w:bCs/>
          <w:lang w:val="en-US"/>
        </w:rPr>
        <w:tab/>
        <w:t>GRANDIOSE:</w:t>
      </w:r>
      <w:r w:rsidR="00B24767">
        <w:rPr>
          <w:b/>
          <w:bCs/>
          <w:lang w:val="en-US"/>
        </w:rPr>
        <w:t xml:space="preserve"> </w:t>
      </w:r>
      <w:r w:rsidR="00B32CC9" w:rsidRPr="00B32CC9">
        <w:rPr>
          <w:b/>
          <w:bCs/>
        </w:rPr>
        <w:t>Unlocking High-value Plastic Circularity through scalable adsorption technology</w:t>
      </w:r>
    </w:p>
    <w:p w14:paraId="013CF790" w14:textId="6B857D6C" w:rsidR="00B24767" w:rsidRPr="00453D12" w:rsidRDefault="00000000" w:rsidP="00B24767">
      <w:pPr>
        <w:pStyle w:val="NoSpacing"/>
        <w:ind w:left="705" w:hanging="705"/>
        <w:rPr>
          <w:b/>
          <w:bCs/>
        </w:rPr>
      </w:pPr>
      <w:sdt>
        <w:sdtPr>
          <w:rPr>
            <w:b/>
            <w:bCs/>
            <w:lang w:val="en-US"/>
          </w:rPr>
          <w:id w:val="-1305922201"/>
          <w14:checkbox>
            <w14:checked w14:val="0"/>
            <w14:checkedState w14:val="2612" w14:font="MS Gothic"/>
            <w14:uncheckedState w14:val="2610" w14:font="MS Gothic"/>
          </w14:checkbox>
        </w:sdtPr>
        <w:sdtContent>
          <w:r w:rsidR="00B24767">
            <w:rPr>
              <w:rFonts w:ascii="MS Gothic" w:eastAsia="MS Gothic" w:hAnsi="MS Gothic" w:hint="eastAsia"/>
              <w:b/>
              <w:bCs/>
              <w:lang w:val="en-US"/>
            </w:rPr>
            <w:t>☐</w:t>
          </w:r>
        </w:sdtContent>
      </w:sdt>
      <w:r w:rsidR="00B24767">
        <w:rPr>
          <w:b/>
          <w:bCs/>
          <w:lang w:val="en-US"/>
        </w:rPr>
        <w:tab/>
        <w:t xml:space="preserve">ISONEXT: </w:t>
      </w:r>
      <w:r w:rsidR="001E5231" w:rsidRPr="001E5231">
        <w:rPr>
          <w:b/>
          <w:bCs/>
          <w:lang w:val="en-US"/>
        </w:rPr>
        <w:t>N</w:t>
      </w:r>
      <w:r w:rsidR="0046240B">
        <w:rPr>
          <w:b/>
          <w:bCs/>
          <w:lang w:val="en-US"/>
        </w:rPr>
        <w:t>ext-Generation Circular Pathways to Recycled Isocyanates via Reactor Innovation</w:t>
      </w:r>
      <w:r w:rsidR="001E5231" w:rsidRPr="001E5231">
        <w:rPr>
          <w:b/>
          <w:bCs/>
          <w:lang w:val="en-US"/>
        </w:rPr>
        <w:t xml:space="preserve"> </w:t>
      </w:r>
    </w:p>
    <w:p w14:paraId="215871DE" w14:textId="77777777" w:rsidR="00B24767" w:rsidRPr="00453D12" w:rsidRDefault="00B24767" w:rsidP="002B4069">
      <w:pPr>
        <w:pStyle w:val="NoSpacing"/>
        <w:rPr>
          <w:b/>
          <w:bCs/>
        </w:rPr>
      </w:pPr>
    </w:p>
    <w:p w14:paraId="28A9091F" w14:textId="77777777" w:rsidR="002B4069" w:rsidRPr="00453D12" w:rsidRDefault="002B4069" w:rsidP="00453D12">
      <w:pPr>
        <w:pStyle w:val="NoSpacing"/>
        <w:rPr>
          <w:b/>
          <w:bCs/>
        </w:rPr>
      </w:pPr>
    </w:p>
    <w:p w14:paraId="527D8541" w14:textId="77777777" w:rsidR="000041CB" w:rsidRPr="000041CB" w:rsidRDefault="000041CB" w:rsidP="000041CB">
      <w:pPr>
        <w:pStyle w:val="NoSpacing"/>
        <w:rPr>
          <w:lang w:val="en-US"/>
        </w:rPr>
      </w:pPr>
    </w:p>
    <w:p w14:paraId="4E3495A1" w14:textId="07A1C788" w:rsidR="009A3557" w:rsidRPr="00F00A5E" w:rsidRDefault="009A3557" w:rsidP="009A3557">
      <w:pPr>
        <w:pStyle w:val="NoSpacing"/>
      </w:pPr>
      <w:r w:rsidRPr="00F00A5E">
        <w:rPr>
          <w:highlight w:val="yellow"/>
        </w:rPr>
        <w:t>[Company]</w:t>
      </w:r>
      <w:r w:rsidRPr="00F00A5E">
        <w:t xml:space="preserve"> is interested in this</w:t>
      </w:r>
      <w:r>
        <w:t>/these</w:t>
      </w:r>
      <w:r w:rsidRPr="00F00A5E">
        <w:t xml:space="preserve"> Moonshot project</w:t>
      </w:r>
      <w:r>
        <w:t>(s)</w:t>
      </w:r>
      <w:r w:rsidRPr="00F00A5E">
        <w:t xml:space="preserve"> because …</w:t>
      </w:r>
    </w:p>
    <w:p w14:paraId="0D99CCC1" w14:textId="6050CDDF" w:rsidR="0029455B" w:rsidRPr="009A3557" w:rsidRDefault="0029455B" w:rsidP="00147529">
      <w:pPr>
        <w:spacing w:after="0" w:line="240" w:lineRule="auto"/>
        <w:jc w:val="both"/>
        <w:rPr>
          <w:rFonts w:ascii="Arial" w:hAnsi="Arial" w:cs="Arial"/>
          <w:color w:val="083756"/>
          <w:spacing w:val="22"/>
          <w:sz w:val="20"/>
          <w:szCs w:val="20"/>
          <w:lang w:val="en-GB"/>
        </w:rPr>
      </w:pPr>
    </w:p>
    <w:p w14:paraId="7DC4A622" w14:textId="77777777" w:rsidR="00E874CE" w:rsidRDefault="00E874CE" w:rsidP="00E874CE">
      <w:pPr>
        <w:pStyle w:val="NoSpacing"/>
        <w:rPr>
          <w:i/>
          <w:iCs/>
          <w:highlight w:val="yellow"/>
        </w:rPr>
      </w:pPr>
      <w:r>
        <w:rPr>
          <w:i/>
          <w:iCs/>
          <w:highlight w:val="yellow"/>
        </w:rPr>
        <w:t>Please describe, as detailed as possible, and for each of the projects in which you are interested individually, how this project fits in your company’s innovation roadmap. Additionally, please describe how the project results could contribute to your company’s present and future activities.</w:t>
      </w:r>
    </w:p>
    <w:p w14:paraId="7CB70A8A" w14:textId="1904C637" w:rsidR="0085389E" w:rsidRDefault="0085389E" w:rsidP="00147529">
      <w:pPr>
        <w:spacing w:after="0" w:line="240" w:lineRule="auto"/>
        <w:jc w:val="both"/>
        <w:rPr>
          <w:rFonts w:ascii="Arial" w:hAnsi="Arial" w:cs="Arial"/>
          <w:color w:val="083756"/>
          <w:spacing w:val="22"/>
          <w:sz w:val="20"/>
          <w:szCs w:val="20"/>
          <w:lang w:val="en-GB"/>
        </w:rPr>
      </w:pPr>
    </w:p>
    <w:p w14:paraId="6734ED77" w14:textId="77777777" w:rsidR="00ED7CD0" w:rsidRPr="0092271D" w:rsidRDefault="00ED7CD0" w:rsidP="00147529">
      <w:pPr>
        <w:spacing w:after="0" w:line="240" w:lineRule="auto"/>
        <w:jc w:val="both"/>
        <w:rPr>
          <w:rFonts w:ascii="Arial" w:hAnsi="Arial" w:cs="Arial"/>
          <w:color w:val="083756"/>
          <w:spacing w:val="22"/>
          <w:sz w:val="20"/>
          <w:szCs w:val="20"/>
          <w:lang w:val="en-GB"/>
        </w:rPr>
      </w:pPr>
    </w:p>
    <w:p w14:paraId="7600EE5E" w14:textId="7517B279" w:rsidR="00261515" w:rsidRPr="00F00A5E" w:rsidRDefault="00261515" w:rsidP="00261515">
      <w:pPr>
        <w:pStyle w:val="NoSpacing"/>
      </w:pPr>
      <w:r w:rsidRPr="00F00A5E">
        <w:t>The next steps after this</w:t>
      </w:r>
      <w:r>
        <w:t>/these</w:t>
      </w:r>
      <w:r w:rsidRPr="00F00A5E">
        <w:t xml:space="preserve"> Moonshot project</w:t>
      </w:r>
      <w:r>
        <w:t>(s)</w:t>
      </w:r>
      <w:r w:rsidRPr="00F00A5E">
        <w:t xml:space="preserve"> are …</w:t>
      </w:r>
    </w:p>
    <w:p w14:paraId="238C1F28" w14:textId="77777777" w:rsidR="00147529" w:rsidRPr="00261515" w:rsidRDefault="00147529" w:rsidP="00147529">
      <w:pPr>
        <w:spacing w:after="0" w:line="240" w:lineRule="auto"/>
        <w:jc w:val="both"/>
        <w:rPr>
          <w:rFonts w:ascii="Arial" w:hAnsi="Arial" w:cs="Arial"/>
          <w:color w:val="083756"/>
          <w:spacing w:val="22"/>
          <w:sz w:val="20"/>
          <w:szCs w:val="20"/>
          <w:lang w:val="en-GB"/>
        </w:rPr>
      </w:pPr>
    </w:p>
    <w:p w14:paraId="580BA415" w14:textId="77777777" w:rsidR="00381D57" w:rsidRDefault="00381D57" w:rsidP="00381D57">
      <w:pPr>
        <w:pStyle w:val="NoSpacing"/>
        <w:rPr>
          <w:i/>
          <w:iCs/>
          <w:highlight w:val="yellow"/>
        </w:rPr>
      </w:pPr>
      <w:r>
        <w:rPr>
          <w:i/>
          <w:iCs/>
          <w:highlight w:val="yellow"/>
        </w:rPr>
        <w:t xml:space="preserve">Please describe step-by-step, as detailed as possible, and for each of the projects in which you are interested individually, how your company will organise follow-up activities for implementation and valorisation of the project results. </w:t>
      </w:r>
    </w:p>
    <w:p w14:paraId="760BBA4A" w14:textId="77777777" w:rsidR="00ED7CD0" w:rsidRPr="00311B0F" w:rsidRDefault="00ED7CD0" w:rsidP="00825069">
      <w:pPr>
        <w:spacing w:after="0" w:line="240" w:lineRule="auto"/>
        <w:jc w:val="both"/>
        <w:rPr>
          <w:rFonts w:ascii="Arial" w:hAnsi="Arial" w:cs="Arial"/>
          <w:color w:val="083756"/>
          <w:spacing w:val="22"/>
          <w:sz w:val="20"/>
          <w:szCs w:val="20"/>
          <w:lang w:val="en-GB"/>
        </w:rPr>
      </w:pPr>
    </w:p>
    <w:p w14:paraId="2953B4F2" w14:textId="73F88DC0" w:rsidR="00121807" w:rsidRDefault="00121807" w:rsidP="00825069">
      <w:pPr>
        <w:spacing w:after="0" w:line="240" w:lineRule="auto"/>
        <w:jc w:val="both"/>
        <w:rPr>
          <w:rFonts w:ascii="Arial" w:hAnsi="Arial" w:cs="Arial"/>
          <w:color w:val="083756"/>
          <w:spacing w:val="22"/>
          <w:sz w:val="20"/>
          <w:szCs w:val="20"/>
          <w:lang w:val="en-US"/>
        </w:rPr>
      </w:pPr>
    </w:p>
    <w:p w14:paraId="741E6ADB" w14:textId="77777777" w:rsidR="00EF785D" w:rsidRDefault="00EF785D" w:rsidP="00EF785D">
      <w:pPr>
        <w:pStyle w:val="NoSpacing"/>
      </w:pPr>
      <w:r w:rsidRPr="00325D5E">
        <w:rPr>
          <w:highlight w:val="yellow"/>
        </w:rPr>
        <w:t>[Name of company employee]</w:t>
      </w:r>
      <w:r w:rsidRPr="00325D5E">
        <w:t xml:space="preserve"> (</w:t>
      </w:r>
      <w:r w:rsidRPr="00325D5E">
        <w:rPr>
          <w:highlight w:val="yellow"/>
        </w:rPr>
        <w:t>[employee email address]</w:t>
      </w:r>
      <w:r w:rsidRPr="00325D5E">
        <w:t xml:space="preserve">) will act as </w:t>
      </w:r>
      <w:r w:rsidRPr="00325D5E">
        <w:rPr>
          <w:highlight w:val="yellow"/>
        </w:rPr>
        <w:t>[Company]</w:t>
      </w:r>
      <w:r w:rsidRPr="00325D5E">
        <w:t xml:space="preserve">’s main point of contact </w:t>
      </w:r>
      <w:r>
        <w:t xml:space="preserve">for </w:t>
      </w:r>
      <w:r w:rsidRPr="00325D5E">
        <w:t xml:space="preserve">the </w:t>
      </w:r>
      <w:r>
        <w:t xml:space="preserve">purposes of </w:t>
      </w:r>
      <w:r w:rsidRPr="00325D5E">
        <w:t>this Letter of Intent</w:t>
      </w:r>
      <w:r>
        <w:t xml:space="preserve"> (the “</w:t>
      </w:r>
      <w:r>
        <w:rPr>
          <w:b/>
        </w:rPr>
        <w:t>Representative</w:t>
      </w:r>
      <w:r>
        <w:t>”)</w:t>
      </w:r>
      <w:r w:rsidRPr="00325D5E">
        <w:t>.</w:t>
      </w:r>
      <w:r>
        <w:t xml:space="preserve"> </w:t>
      </w:r>
      <w:r w:rsidRPr="00325D5E">
        <w:t xml:space="preserve">The Moonshot operational team </w:t>
      </w:r>
      <w:r>
        <w:t xml:space="preserve">will </w:t>
      </w:r>
      <w:r w:rsidRPr="00325D5E">
        <w:t>deliver all relevant communication related to this Letter of Intent</w:t>
      </w:r>
      <w:r>
        <w:t xml:space="preserve"> to the Representative (including - upon approval o</w:t>
      </w:r>
      <w:r w:rsidRPr="003233E8">
        <w:rPr>
          <w:lang w:val="en-US"/>
        </w:rPr>
        <w:t xml:space="preserve">f at least one of the </w:t>
      </w:r>
      <w:r w:rsidRPr="003233E8">
        <w:t>Moonshot Early</w:t>
      </w:r>
      <w:r>
        <w:t xml:space="preserve"> Stage Innovation </w:t>
      </w:r>
      <w:r w:rsidRPr="00ED023E">
        <w:t>projects</w:t>
      </w:r>
      <w:r w:rsidRPr="004A212A">
        <w:rPr>
          <w:lang w:val="en-US"/>
        </w:rPr>
        <w:t xml:space="preserve"> selected above</w:t>
      </w:r>
      <w:r w:rsidRPr="00ED023E">
        <w:rPr>
          <w:lang w:val="en-US"/>
        </w:rPr>
        <w:t xml:space="preserve"> - </w:t>
      </w:r>
      <w:r w:rsidRPr="00ED023E">
        <w:t>invitations for Advisory Board meetings for such projects and information relevant thereto</w:t>
      </w:r>
      <w:r>
        <w:t>).</w:t>
      </w:r>
    </w:p>
    <w:p w14:paraId="4DF65602" w14:textId="77777777" w:rsidR="00EF785D" w:rsidRDefault="00EF785D" w:rsidP="00EF785D">
      <w:pPr>
        <w:pStyle w:val="NoSpacing"/>
      </w:pPr>
    </w:p>
    <w:p w14:paraId="7E4E6DB4" w14:textId="3D580C31" w:rsidR="00EF785D" w:rsidRDefault="00EF785D" w:rsidP="00EF785D">
      <w:pPr>
        <w:pStyle w:val="NoSpacing"/>
        <w:rPr>
          <w:lang w:val="en-US"/>
        </w:rPr>
      </w:pPr>
      <w:r w:rsidRPr="7F45A29B">
        <w:rPr>
          <w:lang w:val="en-US"/>
        </w:rPr>
        <w:t xml:space="preserve">Subject to the condition precedent of the approval for funding by VLAIO of at least one of the </w:t>
      </w:r>
      <w:r>
        <w:t>Moonshot Early Stage Innovation project</w:t>
      </w:r>
      <w:r w:rsidRPr="7F45A29B">
        <w:rPr>
          <w:lang w:val="en-US"/>
        </w:rPr>
        <w:t xml:space="preserve"> selected above, </w:t>
      </w:r>
      <w:r w:rsidRPr="7F45A29B">
        <w:rPr>
          <w:highlight w:val="yellow"/>
          <w:lang w:val="en-US"/>
        </w:rPr>
        <w:t>[Company]</w:t>
      </w:r>
      <w:r w:rsidRPr="7F45A29B">
        <w:rPr>
          <w:lang w:val="en-US"/>
        </w:rPr>
        <w:t xml:space="preserve"> (i) engages to actively follow up on the Moonshot </w:t>
      </w:r>
      <w:r w:rsidR="3331912F" w:rsidRPr="7F45A29B">
        <w:rPr>
          <w:lang w:val="en-US"/>
        </w:rPr>
        <w:t>path</w:t>
      </w:r>
      <w:r w:rsidRPr="7F45A29B">
        <w:rPr>
          <w:lang w:val="en-US"/>
        </w:rPr>
        <w:t xml:space="preserve"> and/or such project(s) and to have the Representative take part in Advisory Board meetings for such project(s); and (ii) hereby accepts the terms and conditions of the Moonshot Advisory Board Accession Form, which is attached hereto as Exhibit 1, in relation to the advisory board for each such project and the confidential information disclosed in connection therewith.</w:t>
      </w:r>
    </w:p>
    <w:p w14:paraId="4BF9CDE0" w14:textId="77777777" w:rsidR="005365A8" w:rsidRPr="00D526FE" w:rsidRDefault="005365A8" w:rsidP="005365A8">
      <w:pPr>
        <w:pStyle w:val="NoSpacing"/>
        <w:rPr>
          <w:lang w:val="en-US"/>
        </w:rPr>
      </w:pPr>
    </w:p>
    <w:p w14:paraId="495BF273" w14:textId="77777777" w:rsidR="005365A8" w:rsidRDefault="005365A8" w:rsidP="005365A8">
      <w:pPr>
        <w:pStyle w:val="NoSpacing"/>
        <w:rPr>
          <w:lang w:val="en-US"/>
        </w:rPr>
      </w:pPr>
    </w:p>
    <w:p w14:paraId="67710B14" w14:textId="77777777" w:rsidR="005365A8" w:rsidRDefault="005365A8" w:rsidP="005365A8">
      <w:pPr>
        <w:pStyle w:val="NoSpacing"/>
        <w:rPr>
          <w:lang w:val="en-US"/>
        </w:rPr>
      </w:pPr>
      <w:r>
        <w:rPr>
          <w:lang w:val="en-US"/>
        </w:rPr>
        <w:t>Sincerely,</w:t>
      </w:r>
    </w:p>
    <w:p w14:paraId="76C2EE48" w14:textId="77777777" w:rsidR="005365A8" w:rsidRDefault="005365A8" w:rsidP="005365A8">
      <w:pPr>
        <w:pStyle w:val="NoSpacing"/>
        <w:rPr>
          <w:lang w:val="en-US"/>
        </w:rPr>
      </w:pPr>
    </w:p>
    <w:p w14:paraId="2F3C2F34" w14:textId="77777777" w:rsidR="005365A8" w:rsidRDefault="005365A8" w:rsidP="005365A8">
      <w:pPr>
        <w:pStyle w:val="NoSpacing"/>
        <w:rPr>
          <w:lang w:val="en-US"/>
        </w:rPr>
      </w:pPr>
    </w:p>
    <w:p w14:paraId="32EB98DC" w14:textId="77777777" w:rsidR="005365A8" w:rsidRDefault="005365A8" w:rsidP="005365A8">
      <w:pPr>
        <w:pStyle w:val="NoSpacing"/>
        <w:rPr>
          <w:lang w:val="en-US"/>
        </w:rPr>
      </w:pPr>
    </w:p>
    <w:p w14:paraId="135407E4" w14:textId="77777777" w:rsidR="005365A8" w:rsidRDefault="005365A8" w:rsidP="005365A8">
      <w:pPr>
        <w:pStyle w:val="NoSpacing"/>
        <w:rPr>
          <w:lang w:val="en-US"/>
        </w:rPr>
      </w:pPr>
    </w:p>
    <w:p w14:paraId="19BF72BF" w14:textId="77777777" w:rsidR="005365A8" w:rsidRDefault="005365A8" w:rsidP="005365A8">
      <w:pPr>
        <w:pStyle w:val="NoSpacing"/>
        <w:rPr>
          <w:lang w:val="en-US"/>
        </w:rPr>
      </w:pPr>
    </w:p>
    <w:p w14:paraId="60A1D6B6" w14:textId="77777777" w:rsidR="005365A8" w:rsidRDefault="005365A8" w:rsidP="005365A8">
      <w:pPr>
        <w:pStyle w:val="NoSpacing"/>
        <w:rPr>
          <w:lang w:val="en-US"/>
        </w:rPr>
      </w:pPr>
    </w:p>
    <w:p w14:paraId="3BB6EF57" w14:textId="2AF2BED0" w:rsidR="005365A8" w:rsidRDefault="005365A8" w:rsidP="005365A8">
      <w:pPr>
        <w:pStyle w:val="NoSpacing"/>
        <w:rPr>
          <w:lang w:val="en-US"/>
        </w:rPr>
      </w:pPr>
      <w:r w:rsidRPr="005742AB">
        <w:rPr>
          <w:highlight w:val="yellow"/>
          <w:lang w:val="en-US"/>
        </w:rPr>
        <w:t>[Signature</w:t>
      </w:r>
      <w:r w:rsidR="005403A8">
        <w:rPr>
          <w:highlight w:val="yellow"/>
          <w:lang w:val="en-US"/>
        </w:rPr>
        <w:t xml:space="preserve"> authorized representative</w:t>
      </w:r>
      <w:r w:rsidRPr="005742AB">
        <w:rPr>
          <w:highlight w:val="yellow"/>
          <w:lang w:val="en-US"/>
        </w:rPr>
        <w:t>]</w:t>
      </w:r>
    </w:p>
    <w:p w14:paraId="7408B3AB" w14:textId="77777777" w:rsidR="005365A8" w:rsidRDefault="005365A8" w:rsidP="005365A8">
      <w:pPr>
        <w:pStyle w:val="NoSpacing"/>
        <w:rPr>
          <w:lang w:val="en-US"/>
        </w:rPr>
      </w:pPr>
    </w:p>
    <w:p w14:paraId="0CE1A9E0" w14:textId="77777777" w:rsidR="005365A8" w:rsidRPr="005742AB" w:rsidRDefault="005365A8" w:rsidP="005365A8">
      <w:pPr>
        <w:pStyle w:val="NoSpacing"/>
        <w:rPr>
          <w:highlight w:val="yellow"/>
          <w:lang w:val="en-US"/>
        </w:rPr>
      </w:pPr>
      <w:r w:rsidRPr="005742AB">
        <w:rPr>
          <w:highlight w:val="yellow"/>
          <w:lang w:val="en-US"/>
        </w:rPr>
        <w:t>[Name, Function, Company]</w:t>
      </w:r>
    </w:p>
    <w:p w14:paraId="67EDEE1F" w14:textId="5E8620D3" w:rsidR="009E278B" w:rsidRPr="00B166BB" w:rsidRDefault="005365A8" w:rsidP="00B166BB">
      <w:pPr>
        <w:pStyle w:val="NoSpacing"/>
        <w:rPr>
          <w:highlight w:val="yellow"/>
          <w:lang w:val="en-US"/>
        </w:rPr>
      </w:pPr>
      <w:r w:rsidRPr="005742AB">
        <w:rPr>
          <w:highlight w:val="yellow"/>
          <w:lang w:val="en-US"/>
        </w:rPr>
        <w:t>[Date]</w:t>
      </w:r>
    </w:p>
    <w:p w14:paraId="7F566D6E" w14:textId="77777777" w:rsidR="00B166BB" w:rsidRPr="00B166BB" w:rsidRDefault="00B166BB" w:rsidP="00B166BB">
      <w:pPr>
        <w:rPr>
          <w:lang w:val="en-GB"/>
        </w:rPr>
      </w:pPr>
    </w:p>
    <w:p w14:paraId="1BF340B8" w14:textId="77777777" w:rsidR="00B166BB" w:rsidRDefault="00B166BB" w:rsidP="00543539">
      <w:pPr>
        <w:pStyle w:val="Heading2"/>
      </w:pPr>
    </w:p>
    <w:p w14:paraId="46156A27" w14:textId="77777777" w:rsidR="00446481" w:rsidRPr="00446481" w:rsidRDefault="00446481" w:rsidP="00446481">
      <w:pPr>
        <w:rPr>
          <w:lang w:val="en-GB"/>
        </w:rPr>
      </w:pPr>
    </w:p>
    <w:p w14:paraId="3B13ECB2" w14:textId="77777777" w:rsidR="00B166BB" w:rsidRDefault="00B166BB" w:rsidP="0031780B">
      <w:pPr>
        <w:rPr>
          <w:lang w:val="en-GB"/>
        </w:rPr>
      </w:pPr>
    </w:p>
    <w:p w14:paraId="4A202483" w14:textId="77777777" w:rsidR="00244FE8" w:rsidRDefault="00244FE8" w:rsidP="0031780B">
      <w:pPr>
        <w:rPr>
          <w:lang w:val="en-GB"/>
        </w:rPr>
      </w:pPr>
    </w:p>
    <w:p w14:paraId="137A8F6F" w14:textId="77777777" w:rsidR="00244FE8" w:rsidRDefault="00244FE8" w:rsidP="0031780B">
      <w:pPr>
        <w:rPr>
          <w:lang w:val="en-GB"/>
        </w:rPr>
      </w:pPr>
    </w:p>
    <w:p w14:paraId="4B46A3B7" w14:textId="77777777" w:rsidR="00244FE8" w:rsidRDefault="00244FE8" w:rsidP="0031780B">
      <w:pPr>
        <w:rPr>
          <w:lang w:val="en-GB"/>
        </w:rPr>
      </w:pPr>
    </w:p>
    <w:p w14:paraId="535B4865" w14:textId="77777777" w:rsidR="00244FE8" w:rsidRDefault="00244FE8" w:rsidP="0031780B">
      <w:pPr>
        <w:rPr>
          <w:lang w:val="en-GB"/>
        </w:rPr>
      </w:pPr>
    </w:p>
    <w:p w14:paraId="2E6F9A13" w14:textId="77777777" w:rsidR="00244FE8" w:rsidRDefault="00244FE8" w:rsidP="0031780B">
      <w:pPr>
        <w:rPr>
          <w:lang w:val="en-GB"/>
        </w:rPr>
      </w:pPr>
    </w:p>
    <w:p w14:paraId="025BF891" w14:textId="77777777" w:rsidR="00244FE8" w:rsidRDefault="00244FE8" w:rsidP="0031780B">
      <w:pPr>
        <w:rPr>
          <w:lang w:val="en-GB"/>
        </w:rPr>
      </w:pPr>
    </w:p>
    <w:p w14:paraId="582E3AC2" w14:textId="77777777" w:rsidR="00244FE8" w:rsidRDefault="00244FE8" w:rsidP="0031780B">
      <w:pPr>
        <w:rPr>
          <w:lang w:val="en-GB"/>
        </w:rPr>
      </w:pPr>
    </w:p>
    <w:p w14:paraId="58E033E9" w14:textId="77777777" w:rsidR="00244FE8" w:rsidRDefault="00244FE8" w:rsidP="0031780B">
      <w:pPr>
        <w:rPr>
          <w:lang w:val="en-GB"/>
        </w:rPr>
      </w:pPr>
    </w:p>
    <w:p w14:paraId="6FC77415" w14:textId="77777777" w:rsidR="00244FE8" w:rsidRDefault="00244FE8" w:rsidP="0031780B">
      <w:pPr>
        <w:rPr>
          <w:lang w:val="en-GB"/>
        </w:rPr>
      </w:pPr>
    </w:p>
    <w:p w14:paraId="63875BFD" w14:textId="77777777" w:rsidR="00244FE8" w:rsidRDefault="00244FE8" w:rsidP="0031780B">
      <w:pPr>
        <w:rPr>
          <w:lang w:val="en-GB"/>
        </w:rPr>
      </w:pPr>
    </w:p>
    <w:p w14:paraId="01C4D61A" w14:textId="77777777" w:rsidR="00244FE8" w:rsidRDefault="00244FE8" w:rsidP="0031780B">
      <w:pPr>
        <w:rPr>
          <w:lang w:val="en-GB"/>
        </w:rPr>
      </w:pPr>
    </w:p>
    <w:p w14:paraId="53E7F245" w14:textId="77777777" w:rsidR="009A6EC2" w:rsidRDefault="009A6EC2" w:rsidP="0031780B">
      <w:pPr>
        <w:rPr>
          <w:lang w:val="en-GB"/>
        </w:rPr>
      </w:pPr>
    </w:p>
    <w:p w14:paraId="4B40F322" w14:textId="77777777" w:rsidR="00453D12" w:rsidRDefault="00453D12" w:rsidP="00453D12">
      <w:pPr>
        <w:rPr>
          <w:rFonts w:ascii="Calibri" w:hAnsi="Calibri"/>
          <w:b/>
          <w:bCs/>
          <w:color w:val="083756"/>
          <w:lang w:val="en-GB"/>
        </w:rPr>
      </w:pPr>
    </w:p>
    <w:p w14:paraId="4DEFDABF" w14:textId="582C9B59" w:rsidR="00E60A82" w:rsidRPr="00EA2360" w:rsidRDefault="00E60A82" w:rsidP="00E60A82">
      <w:pPr>
        <w:pStyle w:val="NoSpacing"/>
        <w:contextualSpacing/>
        <w:rPr>
          <w:smallCaps/>
          <w:lang w:val="en-US"/>
        </w:rPr>
      </w:pPr>
      <w:r w:rsidRPr="00E41819">
        <w:rPr>
          <w:b/>
          <w:bCs/>
          <w:sz w:val="32"/>
          <w:szCs w:val="36"/>
          <w:lang w:eastAsia="en-GB"/>
        </w:rPr>
        <w:t>ALLIANCE</w:t>
      </w:r>
      <w:r>
        <w:rPr>
          <w:b/>
          <w:bCs/>
          <w:sz w:val="32"/>
          <w:szCs w:val="36"/>
          <w:lang w:eastAsia="en-GB"/>
        </w:rPr>
        <w:t xml:space="preserve"> – </w:t>
      </w:r>
      <w:r w:rsidRPr="00831319">
        <w:rPr>
          <w:b/>
          <w:bCs/>
          <w:smallCaps/>
          <w:sz w:val="32"/>
          <w:szCs w:val="36"/>
          <w:lang w:eastAsia="en-GB"/>
        </w:rPr>
        <w:t>Alliance of mechanical and chemical</w:t>
      </w:r>
      <w:r>
        <w:rPr>
          <w:b/>
          <w:bCs/>
          <w:smallCaps/>
          <w:sz w:val="32"/>
          <w:szCs w:val="36"/>
          <w:lang w:eastAsia="en-GB"/>
        </w:rPr>
        <w:t xml:space="preserve"> </w:t>
      </w:r>
      <w:r w:rsidRPr="00831319">
        <w:rPr>
          <w:b/>
          <w:bCs/>
          <w:smallCaps/>
          <w:sz w:val="32"/>
          <w:szCs w:val="36"/>
          <w:lang w:eastAsia="en-GB"/>
        </w:rPr>
        <w:t>recycling to bridge the gap in unrecyclable textile</w:t>
      </w:r>
      <w:r>
        <w:rPr>
          <w:b/>
          <w:bCs/>
          <w:smallCaps/>
          <w:sz w:val="32"/>
          <w:szCs w:val="36"/>
          <w:lang w:eastAsia="en-GB"/>
        </w:rPr>
        <w:t xml:space="preserve"> </w:t>
      </w:r>
      <w:r w:rsidRPr="00831319">
        <w:rPr>
          <w:b/>
          <w:bCs/>
          <w:smallCaps/>
          <w:sz w:val="32"/>
          <w:szCs w:val="36"/>
          <w:lang w:eastAsia="en-GB"/>
        </w:rPr>
        <w:t>plastics</w:t>
      </w:r>
    </w:p>
    <w:p w14:paraId="2E0B493C" w14:textId="77777777" w:rsidR="00BB3E25" w:rsidRPr="00BB3E25" w:rsidRDefault="00BB3E25" w:rsidP="00BB3E25">
      <w:pPr>
        <w:spacing w:after="160" w:line="260" w:lineRule="atLeast"/>
        <w:contextualSpacing/>
        <w:jc w:val="both"/>
        <w:rPr>
          <w:rFonts w:ascii="Arial" w:eastAsia="Calibri" w:hAnsi="Arial" w:cs="Arial"/>
          <w:color w:val="000000"/>
          <w:sz w:val="20"/>
          <w:szCs w:val="20"/>
          <w:lang w:val="en-US"/>
        </w:rPr>
      </w:pPr>
      <w:r w:rsidRPr="00BB3E25">
        <w:rPr>
          <w:rFonts w:ascii="Arial" w:eastAsia="Calibri" w:hAnsi="Arial" w:cs="Arial"/>
          <w:b/>
          <w:bCs/>
          <w:i/>
          <w:iCs/>
          <w:color w:val="000000"/>
          <w:sz w:val="20"/>
          <w:szCs w:val="20"/>
          <w:u w:val="single"/>
          <w:lang w:val="en-US"/>
        </w:rPr>
        <w:t>Context and problem statement:</w:t>
      </w:r>
      <w:r w:rsidRPr="00BB3E25">
        <w:rPr>
          <w:rFonts w:ascii="Arial" w:eastAsia="Calibri" w:hAnsi="Arial" w:cs="Arial"/>
          <w:color w:val="000000"/>
          <w:sz w:val="20"/>
          <w:szCs w:val="20"/>
          <w:lang w:val="en-US"/>
        </w:rPr>
        <w:t xml:space="preserve"> In Europe, textile waste amounts to nearly 7.5 million tons per year, of which less than 1% is recycled. Current recycling routes either handle this complex waste inefficiently (mechanical route) or lack cost-competitiveness (chemical route). Textile-to-textile circularity remains limited by the heterogeneity of waste, commonly composed of PET blended with natural (e.g., cotton and wool) and synthetic fibers (e.g., PA, elastane), and containing additives. Current recycling routes are either unsuitable for fiber mixtures (mechanical routes) or economically unviable (chemical routes). In 2024, the €185 billion European textile industry generated around 7.5 Mt of waste, with PET representing 57% of fibers, recycled mainly through (thermo-)mechanical processing or chemical depolymerization methods. (Thermo-)mechanical recycling requires pure PET waste streams and the presence of other fibers causes degradation and leads to an inferior quality product. On the other hand, chemical recycling via depolymerization guarantees more precise control of the chemical process and allows for more extensive feedstock variability. However, its overall economic and environmental sustainability is still questioned owing to its dependence on large amounts of solvents and high energy demand.</w:t>
      </w:r>
    </w:p>
    <w:p w14:paraId="0205421E" w14:textId="77777777" w:rsidR="00BB3E25" w:rsidRPr="00BB3E25" w:rsidRDefault="00BB3E25" w:rsidP="00BB3E25">
      <w:pPr>
        <w:spacing w:after="160" w:line="260" w:lineRule="atLeast"/>
        <w:contextualSpacing/>
        <w:jc w:val="both"/>
        <w:rPr>
          <w:rFonts w:ascii="Arial" w:eastAsia="Calibri" w:hAnsi="Arial" w:cs="Arial"/>
          <w:color w:val="000000"/>
          <w:sz w:val="20"/>
          <w:szCs w:val="20"/>
          <w:lang w:val="en-US"/>
        </w:rPr>
      </w:pPr>
      <w:r w:rsidRPr="00BB3E25">
        <w:rPr>
          <w:rFonts w:ascii="Arial" w:eastAsia="Calibri" w:hAnsi="Arial" w:cs="Arial"/>
          <w:b/>
          <w:bCs/>
          <w:i/>
          <w:iCs/>
          <w:color w:val="000000"/>
          <w:sz w:val="20"/>
          <w:szCs w:val="20"/>
          <w:u w:val="single"/>
          <w:lang w:val="en-US"/>
        </w:rPr>
        <w:t>Idea</w:t>
      </w:r>
      <w:r w:rsidRPr="00BB3E25">
        <w:rPr>
          <w:rFonts w:ascii="Arial" w:eastAsia="Calibri" w:hAnsi="Arial" w:cs="Arial"/>
          <w:b/>
          <w:bCs/>
          <w:i/>
          <w:iCs/>
          <w:color w:val="000000"/>
          <w:sz w:val="20"/>
          <w:szCs w:val="20"/>
          <w:lang w:val="en-US"/>
        </w:rPr>
        <w:t xml:space="preserve">: </w:t>
      </w:r>
      <w:r w:rsidRPr="00BB3E25">
        <w:rPr>
          <w:rFonts w:ascii="Arial" w:eastAsia="Calibri" w:hAnsi="Arial" w:cs="Arial"/>
          <w:i/>
          <w:iCs/>
          <w:color w:val="000000"/>
          <w:sz w:val="20"/>
          <w:szCs w:val="20"/>
          <w:lang w:val="en-US"/>
        </w:rPr>
        <w:t xml:space="preserve">The ALLIANCE project aims to bridge this gap by developing a </w:t>
      </w:r>
      <w:r w:rsidRPr="00BB3E25">
        <w:rPr>
          <w:rFonts w:ascii="Arial" w:eastAsia="Calibri" w:hAnsi="Arial" w:cs="Arial"/>
          <w:b/>
          <w:bCs/>
          <w:i/>
          <w:iCs/>
          <w:color w:val="000000"/>
          <w:sz w:val="20"/>
          <w:szCs w:val="20"/>
          <w:lang w:val="en-US"/>
        </w:rPr>
        <w:t>selective, intensified and low temperature reactive extrusion (REX) platform that combines chemical reactivity with mechanical scalability</w:t>
      </w:r>
      <w:r w:rsidRPr="00BB3E25">
        <w:rPr>
          <w:rFonts w:ascii="Arial" w:eastAsia="Calibri" w:hAnsi="Arial" w:cs="Arial"/>
          <w:i/>
          <w:iCs/>
          <w:color w:val="000000"/>
          <w:sz w:val="20"/>
          <w:szCs w:val="20"/>
          <w:lang w:val="en-US"/>
        </w:rPr>
        <w:t xml:space="preserve">. Focus will be on the selective depolymerization of the polyester fiber (PET, 57% market share) in complex textile wastes, while recovering the natural (cfr cotton) and synthetic non-PET fibers preserving their integrity. ALLIANCE will target the development of an innovative catalysis-based, low temperature REX process, aided by a novel pre-treatment to remove the natural fibers. Moreover, this development will be guided by the generation of in-depth knowledge on the effect of extrusion behavior (for instance the effect of shear) on the depolymerization reaction. This information will also support a simulation platform that will enable scanning of possible outputs and process scenarios. </w:t>
      </w:r>
    </w:p>
    <w:p w14:paraId="1EC618AC" w14:textId="77777777" w:rsidR="00BB3E25" w:rsidRPr="00BB3E25" w:rsidRDefault="00BB3E25" w:rsidP="00BB3E25">
      <w:pPr>
        <w:spacing w:after="160" w:line="260" w:lineRule="atLeast"/>
        <w:contextualSpacing/>
        <w:jc w:val="both"/>
        <w:rPr>
          <w:rFonts w:ascii="Arial" w:eastAsia="Calibri" w:hAnsi="Arial" w:cs="Arial"/>
          <w:i/>
          <w:iCs/>
          <w:color w:val="000000"/>
          <w:sz w:val="20"/>
          <w:szCs w:val="20"/>
          <w:lang w:val="en-US"/>
        </w:rPr>
      </w:pPr>
      <w:r w:rsidRPr="00BB3E25">
        <w:rPr>
          <w:rFonts w:ascii="Arial" w:eastAsia="Calibri" w:hAnsi="Arial" w:cs="Arial"/>
          <w:b/>
          <w:bCs/>
          <w:i/>
          <w:iCs/>
          <w:color w:val="000000"/>
          <w:sz w:val="20"/>
          <w:szCs w:val="20"/>
          <w:u w:val="single"/>
          <w:lang w:val="en-US"/>
        </w:rPr>
        <w:t>Approach</w:t>
      </w:r>
      <w:r w:rsidRPr="00BB3E25">
        <w:rPr>
          <w:rFonts w:ascii="Arial" w:eastAsia="Calibri" w:hAnsi="Arial" w:cs="Arial"/>
          <w:b/>
          <w:bCs/>
          <w:i/>
          <w:iCs/>
          <w:color w:val="000000"/>
          <w:sz w:val="20"/>
          <w:szCs w:val="20"/>
          <w:lang w:val="en-US"/>
        </w:rPr>
        <w:t xml:space="preserve">: </w:t>
      </w:r>
      <w:r w:rsidRPr="00BB3E25">
        <w:rPr>
          <w:rFonts w:ascii="Arial" w:eastAsia="Calibri" w:hAnsi="Arial" w:cs="Arial"/>
          <w:i/>
          <w:iCs/>
          <w:color w:val="000000"/>
          <w:sz w:val="20"/>
          <w:szCs w:val="20"/>
          <w:lang w:val="en-US"/>
        </w:rPr>
        <w:t xml:space="preserve">To achieve this overall ambitious goal five key scientific objectives have been defined for ALLIANCE. 1) Development of an innovative pretreatment to enable </w:t>
      </w:r>
      <w:r w:rsidRPr="00BB3E25">
        <w:rPr>
          <w:rFonts w:ascii="Arial" w:eastAsia="Calibri" w:hAnsi="Arial" w:cs="Arial"/>
          <w:b/>
          <w:bCs/>
          <w:i/>
          <w:iCs/>
          <w:color w:val="000000"/>
          <w:sz w:val="20"/>
          <w:szCs w:val="20"/>
          <w:lang w:val="en-US"/>
        </w:rPr>
        <w:t>natural fiber removal</w:t>
      </w:r>
      <w:r w:rsidRPr="00BB3E25">
        <w:rPr>
          <w:rFonts w:ascii="Arial" w:eastAsia="Calibri" w:hAnsi="Arial" w:cs="Arial"/>
          <w:i/>
          <w:iCs/>
          <w:color w:val="000000"/>
          <w:sz w:val="20"/>
          <w:szCs w:val="20"/>
          <w:lang w:val="en-US"/>
        </w:rPr>
        <w:t xml:space="preserve"> below 0.5% and achieve REX operation below 200 °C. 2)</w:t>
      </w:r>
      <w:r w:rsidRPr="00BB3E25">
        <w:rPr>
          <w:rFonts w:ascii="Arial" w:eastAsia="Calibri" w:hAnsi="Arial" w:cs="Arial"/>
          <w:b/>
          <w:bCs/>
          <w:i/>
          <w:iCs/>
          <w:color w:val="000000"/>
          <w:sz w:val="20"/>
          <w:szCs w:val="20"/>
          <w:lang w:val="en-US"/>
        </w:rPr>
        <w:t xml:space="preserve"> </w:t>
      </w:r>
      <w:r w:rsidRPr="00BB3E25">
        <w:rPr>
          <w:rFonts w:ascii="Arial" w:eastAsia="Calibri" w:hAnsi="Arial" w:cs="Arial"/>
          <w:i/>
          <w:iCs/>
          <w:color w:val="000000"/>
          <w:sz w:val="20"/>
          <w:szCs w:val="20"/>
          <w:lang w:val="en-US"/>
        </w:rPr>
        <w:t xml:space="preserve">Identification of REX-compatible catalysts resulting in </w:t>
      </w:r>
      <w:r w:rsidRPr="00BB3E25">
        <w:rPr>
          <w:rFonts w:ascii="Arial" w:eastAsia="Calibri" w:hAnsi="Arial" w:cs="Arial"/>
          <w:b/>
          <w:bCs/>
          <w:i/>
          <w:iCs/>
          <w:color w:val="000000"/>
          <w:sz w:val="20"/>
          <w:szCs w:val="20"/>
          <w:lang w:val="en-US"/>
        </w:rPr>
        <w:t>high productivity</w:t>
      </w:r>
      <w:r w:rsidRPr="00BB3E25">
        <w:rPr>
          <w:rFonts w:ascii="Arial" w:eastAsia="Calibri" w:hAnsi="Arial" w:cs="Arial"/>
          <w:i/>
          <w:iCs/>
          <w:color w:val="000000"/>
          <w:sz w:val="20"/>
          <w:szCs w:val="20"/>
          <w:lang w:val="en-US"/>
        </w:rPr>
        <w:t xml:space="preserve"> (reaction times less than 30 min) and </w:t>
      </w:r>
      <w:r w:rsidRPr="00BB3E25">
        <w:rPr>
          <w:rFonts w:ascii="Arial" w:eastAsia="Calibri" w:hAnsi="Arial" w:cs="Arial"/>
          <w:b/>
          <w:bCs/>
          <w:i/>
          <w:iCs/>
          <w:color w:val="000000"/>
          <w:sz w:val="20"/>
          <w:szCs w:val="20"/>
          <w:lang w:val="en-US"/>
        </w:rPr>
        <w:t>high PET selectivity</w:t>
      </w:r>
      <w:r w:rsidRPr="00BB3E25">
        <w:rPr>
          <w:rFonts w:ascii="Arial" w:eastAsia="Calibri" w:hAnsi="Arial" w:cs="Arial"/>
          <w:i/>
          <w:iCs/>
          <w:color w:val="000000"/>
          <w:sz w:val="20"/>
          <w:szCs w:val="20"/>
          <w:lang w:val="en-US"/>
        </w:rPr>
        <w:t xml:space="preserve"> (above 95%) at </w:t>
      </w:r>
      <w:r w:rsidRPr="00BB3E25">
        <w:rPr>
          <w:rFonts w:ascii="Arial" w:eastAsia="Calibri" w:hAnsi="Arial" w:cs="Arial"/>
          <w:b/>
          <w:bCs/>
          <w:i/>
          <w:iCs/>
          <w:color w:val="000000"/>
          <w:sz w:val="20"/>
          <w:szCs w:val="20"/>
          <w:lang w:val="en-US"/>
        </w:rPr>
        <w:t>low solvent use</w:t>
      </w:r>
      <w:r w:rsidRPr="00BB3E25">
        <w:rPr>
          <w:rFonts w:ascii="Arial" w:eastAsia="Calibri" w:hAnsi="Arial" w:cs="Arial"/>
          <w:i/>
          <w:iCs/>
          <w:color w:val="000000"/>
          <w:sz w:val="20"/>
          <w:szCs w:val="20"/>
          <w:lang w:val="en-US"/>
        </w:rPr>
        <w:t xml:space="preserve">. 3) </w:t>
      </w:r>
      <w:r w:rsidRPr="00BB3E25">
        <w:rPr>
          <w:rFonts w:ascii="Arial" w:eastAsia="Calibri" w:hAnsi="Arial" w:cs="Arial"/>
          <w:b/>
          <w:bCs/>
          <w:i/>
          <w:iCs/>
          <w:color w:val="000000"/>
          <w:sz w:val="20"/>
          <w:szCs w:val="20"/>
          <w:lang w:val="en-US"/>
        </w:rPr>
        <w:t>Integrated downstream processing</w:t>
      </w:r>
      <w:r w:rsidRPr="00BB3E25">
        <w:rPr>
          <w:rFonts w:ascii="Arial" w:eastAsia="Calibri" w:hAnsi="Arial" w:cs="Arial"/>
          <w:i/>
          <w:iCs/>
          <w:color w:val="000000"/>
          <w:sz w:val="20"/>
          <w:szCs w:val="20"/>
          <w:lang w:val="en-US"/>
        </w:rPr>
        <w:t xml:space="preserve"> generating an additive free polyol suitable for market valorization. 4. Kinetic and process modelling of the reactive extrusion approach. 5) </w:t>
      </w:r>
      <w:r w:rsidRPr="00BB3E25">
        <w:rPr>
          <w:rFonts w:ascii="Arial" w:eastAsia="Calibri" w:hAnsi="Arial" w:cs="Arial"/>
          <w:b/>
          <w:bCs/>
          <w:i/>
          <w:iCs/>
          <w:color w:val="000000"/>
          <w:sz w:val="20"/>
          <w:szCs w:val="20"/>
          <w:lang w:val="en-US"/>
        </w:rPr>
        <w:t>Valorization of recycled textile outputs</w:t>
      </w:r>
      <w:r w:rsidRPr="00BB3E25">
        <w:rPr>
          <w:rFonts w:ascii="Arial" w:eastAsia="Calibri" w:hAnsi="Arial" w:cs="Arial"/>
          <w:i/>
          <w:iCs/>
          <w:color w:val="000000"/>
          <w:sz w:val="20"/>
          <w:szCs w:val="20"/>
          <w:lang w:val="en-US"/>
        </w:rPr>
        <w:t xml:space="preserve"> for sustainable market integration.  </w:t>
      </w:r>
    </w:p>
    <w:p w14:paraId="30AD3290" w14:textId="77777777" w:rsidR="00BB3E25" w:rsidRPr="00BB3E25" w:rsidRDefault="00BB3E25" w:rsidP="00BB3E25">
      <w:pPr>
        <w:spacing w:after="160" w:line="260" w:lineRule="atLeast"/>
        <w:contextualSpacing/>
        <w:jc w:val="both"/>
        <w:rPr>
          <w:rFonts w:ascii="Arial" w:eastAsia="Calibri" w:hAnsi="Arial" w:cs="Arial"/>
          <w:i/>
          <w:iCs/>
          <w:color w:val="000000"/>
          <w:sz w:val="16"/>
          <w:szCs w:val="16"/>
          <w:lang w:val="en-US"/>
        </w:rPr>
      </w:pPr>
    </w:p>
    <w:p w14:paraId="7F799201" w14:textId="77777777" w:rsidR="00BB3E25" w:rsidRPr="00BB3E25" w:rsidRDefault="00BB3E25" w:rsidP="00BB3E25">
      <w:pPr>
        <w:spacing w:after="160" w:line="260" w:lineRule="atLeast"/>
        <w:contextualSpacing/>
        <w:jc w:val="both"/>
        <w:rPr>
          <w:rFonts w:ascii="Arial" w:eastAsia="Calibri" w:hAnsi="Arial" w:cs="Arial"/>
          <w:i/>
          <w:iCs/>
          <w:color w:val="000000"/>
          <w:sz w:val="20"/>
          <w:szCs w:val="20"/>
          <w:lang w:val="en-US"/>
        </w:rPr>
      </w:pPr>
      <w:r w:rsidRPr="00BB3E25">
        <w:rPr>
          <w:rFonts w:ascii="Arial" w:eastAsia="Calibri" w:hAnsi="Arial" w:cs="Arial"/>
          <w:i/>
          <w:iCs/>
          <w:noProof/>
          <w:color w:val="000000"/>
          <w:sz w:val="20"/>
          <w:szCs w:val="20"/>
          <w:lang w:val="en-US"/>
        </w:rPr>
        <w:drawing>
          <wp:inline distT="0" distB="0" distL="0" distR="0" wp14:anchorId="3FAF1B27" wp14:editId="24E6806D">
            <wp:extent cx="5289944" cy="1645920"/>
            <wp:effectExtent l="0" t="0" r="6350" b="0"/>
            <wp:docPr id="24479744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03666" cy="1650189"/>
                    </a:xfrm>
                    <a:prstGeom prst="rect">
                      <a:avLst/>
                    </a:prstGeom>
                    <a:noFill/>
                  </pic:spPr>
                </pic:pic>
              </a:graphicData>
            </a:graphic>
          </wp:inline>
        </w:drawing>
      </w:r>
    </w:p>
    <w:p w14:paraId="75E32C71" w14:textId="77777777" w:rsidR="00BB3E25" w:rsidRPr="00BB3E25" w:rsidRDefault="00BB3E25" w:rsidP="00BB3E25">
      <w:pPr>
        <w:spacing w:after="0" w:line="260" w:lineRule="atLeast"/>
        <w:contextualSpacing/>
        <w:jc w:val="center"/>
        <w:rPr>
          <w:rFonts w:ascii="Arial" w:eastAsia="Calibri" w:hAnsi="Arial" w:cs="Arial"/>
          <w:i/>
          <w:iCs/>
          <w:color w:val="000000"/>
          <w:sz w:val="20"/>
          <w:szCs w:val="20"/>
          <w:lang w:val="en-US"/>
        </w:rPr>
      </w:pPr>
      <w:r w:rsidRPr="00BB3E25">
        <w:rPr>
          <w:rFonts w:ascii="Arial" w:eastAsia="Calibri" w:hAnsi="Arial" w:cs="Arial"/>
          <w:i/>
          <w:iCs/>
          <w:color w:val="000000"/>
          <w:sz w:val="20"/>
          <w:szCs w:val="20"/>
          <w:lang w:val="en-US"/>
        </w:rPr>
        <w:t>  Figure 1. Schematic overview of the ALLIANCE concept and research objectives (RO).</w:t>
      </w:r>
    </w:p>
    <w:p w14:paraId="272CE376" w14:textId="77777777" w:rsidR="00BB3E25" w:rsidRPr="00766D51" w:rsidRDefault="00BB3E25" w:rsidP="00BB3E25">
      <w:pPr>
        <w:spacing w:after="0" w:line="260" w:lineRule="atLeast"/>
        <w:contextualSpacing/>
        <w:jc w:val="center"/>
        <w:rPr>
          <w:rFonts w:ascii="Arial" w:eastAsia="Calibri" w:hAnsi="Arial" w:cs="Arial"/>
          <w:i/>
          <w:iCs/>
          <w:color w:val="000000"/>
          <w:sz w:val="20"/>
          <w:szCs w:val="20"/>
          <w:lang w:val="en-GB"/>
        </w:rPr>
      </w:pPr>
    </w:p>
    <w:p w14:paraId="001EFBD0" w14:textId="77777777" w:rsidR="00BB3E25" w:rsidRPr="00BB3E25" w:rsidRDefault="00BB3E25" w:rsidP="00BB3E25">
      <w:pPr>
        <w:spacing w:after="0" w:line="260" w:lineRule="atLeast"/>
        <w:contextualSpacing/>
        <w:jc w:val="both"/>
        <w:rPr>
          <w:rFonts w:ascii="Arial" w:eastAsia="Calibri" w:hAnsi="Arial" w:cs="Arial"/>
          <w:color w:val="000000"/>
          <w:sz w:val="20"/>
          <w:szCs w:val="20"/>
        </w:rPr>
      </w:pPr>
      <w:r w:rsidRPr="00BB3E25">
        <w:rPr>
          <w:rFonts w:ascii="Arial" w:eastAsia="Calibri" w:hAnsi="Arial" w:cs="Arial"/>
          <w:b/>
          <w:bCs/>
          <w:i/>
          <w:iCs/>
          <w:color w:val="000000"/>
          <w:sz w:val="20"/>
          <w:szCs w:val="20"/>
          <w:u w:val="single"/>
        </w:rPr>
        <w:t>Contact details</w:t>
      </w:r>
      <w:r w:rsidRPr="00BB3E25">
        <w:rPr>
          <w:rFonts w:ascii="Arial" w:eastAsia="Calibri" w:hAnsi="Arial" w:cs="Arial"/>
          <w:color w:val="000000"/>
          <w:sz w:val="20"/>
          <w:szCs w:val="20"/>
        </w:rPr>
        <w:t xml:space="preserve">: Dr. Kathy Elst (VITO/SPOT), </w:t>
      </w:r>
      <w:r w:rsidRPr="00BB3E25">
        <w:rPr>
          <w:rFonts w:ascii="Calibri" w:eastAsia="Calibri" w:hAnsi="Calibri" w:cs="Arial"/>
          <w:color w:val="0563C1"/>
          <w:u w:val="single"/>
        </w:rPr>
        <w:t>kathy.elst@vito.be</w:t>
      </w:r>
      <w:r w:rsidRPr="00BB3E25">
        <w:rPr>
          <w:rFonts w:ascii="Arial" w:eastAsia="Calibri" w:hAnsi="Arial" w:cs="Arial"/>
          <w:color w:val="000000"/>
          <w:sz w:val="20"/>
          <w:szCs w:val="20"/>
        </w:rPr>
        <w:t xml:space="preserve">; Prof. Dr. Dagmar D’hooghe (UGent/LCT), </w:t>
      </w:r>
      <w:r w:rsidRPr="00BB3E25">
        <w:rPr>
          <w:rFonts w:ascii="Calibri" w:eastAsia="Calibri" w:hAnsi="Calibri" w:cs="Arial"/>
          <w:color w:val="0563C1"/>
          <w:u w:val="single"/>
        </w:rPr>
        <w:t>dagmar.dhooge@ugent.be</w:t>
      </w:r>
      <w:r w:rsidRPr="00BB3E25">
        <w:rPr>
          <w:rFonts w:ascii="Arial" w:eastAsia="Calibri" w:hAnsi="Arial" w:cs="Arial"/>
          <w:color w:val="000000"/>
          <w:sz w:val="20"/>
          <w:szCs w:val="20"/>
        </w:rPr>
        <w:t xml:space="preserve">; Prof. Dr. Steven De Meester (UGent/LCPE), </w:t>
      </w:r>
      <w:r w:rsidRPr="00BB3E25">
        <w:rPr>
          <w:rFonts w:ascii="Calibri" w:eastAsia="Calibri" w:hAnsi="Calibri" w:cs="Arial"/>
          <w:color w:val="0563C1"/>
          <w:u w:val="single"/>
        </w:rPr>
        <w:t>steven.demeester@ugent.be</w:t>
      </w:r>
      <w:r w:rsidRPr="00BB3E25">
        <w:rPr>
          <w:rFonts w:ascii="Arial" w:eastAsia="Calibri" w:hAnsi="Arial" w:cs="Arial"/>
          <w:color w:val="000000"/>
          <w:sz w:val="20"/>
          <w:szCs w:val="20"/>
        </w:rPr>
        <w:t xml:space="preserve">; Dr. Isabel De Schrijver (Centexbel), </w:t>
      </w:r>
      <w:hyperlink r:id="rId12" w:history="1">
        <w:r w:rsidRPr="00BB3E25">
          <w:rPr>
            <w:rFonts w:ascii="Arial" w:eastAsia="Calibri" w:hAnsi="Arial" w:cs="Arial"/>
            <w:color w:val="0563C1"/>
            <w:sz w:val="20"/>
            <w:szCs w:val="20"/>
            <w:u w:val="single"/>
          </w:rPr>
          <w:t>ids@centexbel.be</w:t>
        </w:r>
      </w:hyperlink>
      <w:r w:rsidRPr="00BB3E25">
        <w:rPr>
          <w:rFonts w:ascii="Arial" w:eastAsia="Calibri" w:hAnsi="Arial" w:cs="Arial"/>
          <w:color w:val="000000"/>
          <w:sz w:val="20"/>
          <w:szCs w:val="20"/>
        </w:rPr>
        <w:t>.</w:t>
      </w:r>
    </w:p>
    <w:p w14:paraId="542BC31B" w14:textId="77777777" w:rsidR="00E60A82" w:rsidRPr="00BB3E25" w:rsidRDefault="00E60A82" w:rsidP="00E60A82">
      <w:pPr>
        <w:spacing w:after="0" w:line="260" w:lineRule="atLeast"/>
        <w:jc w:val="center"/>
        <w:rPr>
          <w:rFonts w:ascii="Arial" w:hAnsi="Arial" w:cs="Arial"/>
          <w:color w:val="000000"/>
          <w:sz w:val="20"/>
          <w:szCs w:val="20"/>
        </w:rPr>
      </w:pPr>
    </w:p>
    <w:p w14:paraId="5DB36020" w14:textId="77777777" w:rsidR="00766D51" w:rsidRPr="00766D51" w:rsidRDefault="00766D51" w:rsidP="00453D12">
      <w:pPr>
        <w:pStyle w:val="NoSpacing"/>
        <w:rPr>
          <w:b/>
          <w:bCs/>
          <w:sz w:val="32"/>
          <w:szCs w:val="36"/>
          <w:lang w:val="nl-BE" w:eastAsia="en-GB"/>
        </w:rPr>
      </w:pPr>
    </w:p>
    <w:p w14:paraId="482948D9" w14:textId="381D78E3" w:rsidR="00453D12" w:rsidRPr="00552CF9" w:rsidRDefault="00453D12" w:rsidP="00453D12">
      <w:pPr>
        <w:pStyle w:val="NoSpacing"/>
        <w:rPr>
          <w:smallCaps/>
          <w:lang w:val="en-US"/>
        </w:rPr>
      </w:pPr>
      <w:r>
        <w:rPr>
          <w:b/>
          <w:bCs/>
          <w:sz w:val="32"/>
          <w:szCs w:val="36"/>
          <w:lang w:eastAsia="en-GB"/>
        </w:rPr>
        <w:t xml:space="preserve">DIPLO – </w:t>
      </w:r>
      <w:r w:rsidRPr="00552CF9">
        <w:rPr>
          <w:b/>
          <w:bCs/>
          <w:smallCaps/>
          <w:sz w:val="32"/>
          <w:szCs w:val="36"/>
          <w:lang w:eastAsia="en-GB"/>
        </w:rPr>
        <w:t>DIrect Plastic waste conversion to Light Olefins</w:t>
      </w:r>
    </w:p>
    <w:p w14:paraId="4087D5AD" w14:textId="77777777" w:rsidR="00B32CC9" w:rsidRDefault="00B32CC9" w:rsidP="00453D12">
      <w:pPr>
        <w:spacing w:after="0" w:line="300" w:lineRule="auto"/>
        <w:jc w:val="both"/>
        <w:rPr>
          <w:rFonts w:ascii="Arial" w:eastAsia="Arial" w:hAnsi="Arial" w:cs="Arial"/>
          <w:b/>
          <w:bCs/>
          <w:i/>
          <w:iCs/>
          <w:color w:val="000000" w:themeColor="text1"/>
          <w:sz w:val="20"/>
          <w:szCs w:val="20"/>
          <w:u w:val="single"/>
          <w:lang w:val="en-US"/>
        </w:rPr>
      </w:pPr>
    </w:p>
    <w:p w14:paraId="11BF9F4E" w14:textId="203586FA" w:rsidR="00453D12" w:rsidRDefault="00453D12" w:rsidP="00453D12">
      <w:pPr>
        <w:spacing w:after="0" w:line="300" w:lineRule="auto"/>
        <w:jc w:val="both"/>
        <w:rPr>
          <w:rFonts w:ascii="Arial" w:eastAsia="Arial" w:hAnsi="Arial" w:cs="Arial"/>
          <w:sz w:val="20"/>
          <w:szCs w:val="20"/>
          <w:lang w:val="en-US"/>
        </w:rPr>
      </w:pPr>
      <w:r w:rsidRPr="34A6D7E1">
        <w:rPr>
          <w:rFonts w:ascii="Arial" w:eastAsia="Arial" w:hAnsi="Arial" w:cs="Arial"/>
          <w:b/>
          <w:bCs/>
          <w:i/>
          <w:iCs/>
          <w:color w:val="000000" w:themeColor="text1"/>
          <w:sz w:val="20"/>
          <w:szCs w:val="20"/>
          <w:u w:val="single"/>
          <w:lang w:val="en-US"/>
        </w:rPr>
        <w:t>Context and problem statement:</w:t>
      </w:r>
      <w:r w:rsidRPr="34A6D7E1">
        <w:rPr>
          <w:rFonts w:ascii="Arial" w:eastAsia="Arial" w:hAnsi="Arial" w:cs="Arial"/>
          <w:color w:val="000000" w:themeColor="text1"/>
          <w:sz w:val="20"/>
          <w:szCs w:val="20"/>
          <w:lang w:val="en-US"/>
        </w:rPr>
        <w:t xml:space="preserve"> </w:t>
      </w:r>
      <w:r w:rsidRPr="34A6D7E1">
        <w:rPr>
          <w:rFonts w:ascii="Arial" w:eastAsia="Arial" w:hAnsi="Arial" w:cs="Arial"/>
          <w:sz w:val="20"/>
          <w:szCs w:val="20"/>
          <w:lang w:val="en-US"/>
        </w:rPr>
        <w:t>Flanders faces rising regulatory pressure to increase plastic</w:t>
      </w:r>
      <w:r w:rsidRPr="34A6D7E1">
        <w:rPr>
          <w:rFonts w:ascii="Cambria Math" w:eastAsia="Arial" w:hAnsi="Cambria Math" w:cs="Cambria Math"/>
          <w:sz w:val="20"/>
          <w:szCs w:val="20"/>
          <w:lang w:val="en-US"/>
        </w:rPr>
        <w:t>‑</w:t>
      </w:r>
      <w:r w:rsidRPr="34A6D7E1">
        <w:rPr>
          <w:rFonts w:ascii="Arial" w:eastAsia="Arial" w:hAnsi="Arial" w:cs="Arial"/>
          <w:sz w:val="20"/>
          <w:szCs w:val="20"/>
          <w:lang w:val="en-US"/>
        </w:rPr>
        <w:t>packaging recycling to 35% by 2030 and 65% by 2040 under the EU PPWR. Current recycling routes are unable to meet these targets. Mechanical recycling delivers limited purity and is unsuitable for high</w:t>
      </w:r>
      <w:r w:rsidRPr="34A6D7E1">
        <w:rPr>
          <w:rFonts w:ascii="Cambria Math" w:eastAsia="Arial" w:hAnsi="Cambria Math" w:cs="Cambria Math"/>
          <w:sz w:val="20"/>
          <w:szCs w:val="20"/>
          <w:lang w:val="en-US"/>
        </w:rPr>
        <w:t>‑</w:t>
      </w:r>
      <w:r w:rsidRPr="34A6D7E1">
        <w:rPr>
          <w:rFonts w:ascii="Arial" w:eastAsia="Arial" w:hAnsi="Arial" w:cs="Arial"/>
          <w:sz w:val="20"/>
          <w:szCs w:val="20"/>
          <w:lang w:val="en-US"/>
        </w:rPr>
        <w:t>value applications, while existing chemical</w:t>
      </w:r>
      <w:r w:rsidRPr="34A6D7E1">
        <w:rPr>
          <w:rFonts w:ascii="Cambria Math" w:eastAsia="Arial" w:hAnsi="Cambria Math" w:cs="Cambria Math"/>
          <w:sz w:val="20"/>
          <w:szCs w:val="20"/>
          <w:lang w:val="en-US"/>
        </w:rPr>
        <w:t>‑</w:t>
      </w:r>
      <w:r w:rsidRPr="34A6D7E1">
        <w:rPr>
          <w:rFonts w:ascii="Arial" w:eastAsia="Arial" w:hAnsi="Arial" w:cs="Arial"/>
          <w:sz w:val="20"/>
          <w:szCs w:val="20"/>
          <w:lang w:val="en-US"/>
        </w:rPr>
        <w:t>recycling technologies (pyrolysis, gasification) involve multiple steps, hydrogen consumption, high energy use, and significant carbon loss. As a result, mixed polyolefin waste (MPW) is largely downcycled or incinerated, causing substantial CO</w:t>
      </w:r>
      <w:r w:rsidRPr="34A6D7E1">
        <w:rPr>
          <w:rFonts w:ascii="Arial" w:eastAsia="Arial" w:hAnsi="Arial" w:cs="Arial"/>
          <w:sz w:val="20"/>
          <w:szCs w:val="20"/>
          <w:vertAlign w:val="subscript"/>
          <w:lang w:val="en-US"/>
        </w:rPr>
        <w:t>2</w:t>
      </w:r>
      <w:r w:rsidRPr="34A6D7E1">
        <w:rPr>
          <w:rFonts w:ascii="Arial" w:eastAsia="Arial" w:hAnsi="Arial" w:cs="Arial"/>
          <w:sz w:val="20"/>
          <w:szCs w:val="20"/>
          <w:lang w:val="en-US"/>
        </w:rPr>
        <w:t xml:space="preserve"> emissions and loss of valuable hydrocarbons. To achieve a carbon</w:t>
      </w:r>
      <w:r w:rsidRPr="34A6D7E1">
        <w:rPr>
          <w:rFonts w:ascii="Cambria Math" w:eastAsia="Arial" w:hAnsi="Cambria Math" w:cs="Cambria Math"/>
          <w:sz w:val="20"/>
          <w:szCs w:val="20"/>
          <w:lang w:val="en-US"/>
        </w:rPr>
        <w:t>‑</w:t>
      </w:r>
      <w:r w:rsidRPr="34A6D7E1">
        <w:rPr>
          <w:rFonts w:ascii="Arial" w:eastAsia="Arial" w:hAnsi="Arial" w:cs="Arial"/>
          <w:sz w:val="20"/>
          <w:szCs w:val="20"/>
          <w:lang w:val="en-US"/>
        </w:rPr>
        <w:t>circular Flemish chemical industry, new technologies are urgently needed to convert MPW into high</w:t>
      </w:r>
      <w:r w:rsidRPr="34A6D7E1">
        <w:rPr>
          <w:rFonts w:ascii="Cambria Math" w:eastAsia="Arial" w:hAnsi="Cambria Math" w:cs="Cambria Math"/>
          <w:sz w:val="20"/>
          <w:szCs w:val="20"/>
          <w:lang w:val="en-US"/>
        </w:rPr>
        <w:t>‑</w:t>
      </w:r>
      <w:r w:rsidRPr="34A6D7E1">
        <w:rPr>
          <w:rFonts w:ascii="Arial" w:eastAsia="Arial" w:hAnsi="Arial" w:cs="Arial"/>
          <w:sz w:val="20"/>
          <w:szCs w:val="20"/>
          <w:lang w:val="en-US"/>
        </w:rPr>
        <w:t>value building blocks efficiently, cleanly, and at scale.</w:t>
      </w:r>
    </w:p>
    <w:p w14:paraId="7F4F3232" w14:textId="77777777" w:rsidR="00453D12" w:rsidRDefault="00453D12" w:rsidP="00453D12">
      <w:pPr>
        <w:spacing w:after="0" w:line="300" w:lineRule="auto"/>
        <w:jc w:val="both"/>
        <w:rPr>
          <w:rFonts w:ascii="Arial" w:eastAsia="Arial" w:hAnsi="Arial" w:cs="Arial"/>
          <w:b/>
          <w:bCs/>
          <w:i/>
          <w:iCs/>
          <w:color w:val="000000" w:themeColor="text1"/>
          <w:sz w:val="20"/>
          <w:szCs w:val="20"/>
          <w:u w:val="single"/>
          <w:lang w:val="en-US"/>
        </w:rPr>
      </w:pPr>
    </w:p>
    <w:p w14:paraId="1C45B794" w14:textId="77777777" w:rsidR="00453D12" w:rsidRDefault="00453D12" w:rsidP="00453D12">
      <w:pPr>
        <w:spacing w:after="0" w:line="300" w:lineRule="auto"/>
        <w:jc w:val="both"/>
        <w:rPr>
          <w:rFonts w:ascii="Arial" w:eastAsia="Arial" w:hAnsi="Arial" w:cs="Arial"/>
          <w:sz w:val="20"/>
          <w:szCs w:val="20"/>
          <w:lang w:val="en-US"/>
        </w:rPr>
      </w:pPr>
      <w:r w:rsidRPr="099EA149">
        <w:rPr>
          <w:rFonts w:ascii="Arial" w:eastAsia="Arial" w:hAnsi="Arial" w:cs="Arial"/>
          <w:b/>
          <w:bCs/>
          <w:i/>
          <w:iCs/>
          <w:color w:val="000000" w:themeColor="text1"/>
          <w:sz w:val="20"/>
          <w:szCs w:val="20"/>
          <w:u w:val="single"/>
          <w:lang w:val="en-US"/>
        </w:rPr>
        <w:t>Idea</w:t>
      </w:r>
      <w:r w:rsidRPr="099EA149">
        <w:rPr>
          <w:rFonts w:ascii="Arial" w:eastAsia="Arial" w:hAnsi="Arial" w:cs="Arial"/>
          <w:b/>
          <w:bCs/>
          <w:i/>
          <w:iCs/>
          <w:color w:val="000000" w:themeColor="text1"/>
          <w:sz w:val="20"/>
          <w:szCs w:val="20"/>
          <w:lang w:val="en-US"/>
        </w:rPr>
        <w:t xml:space="preserve">: </w:t>
      </w:r>
      <w:r w:rsidRPr="099EA149">
        <w:rPr>
          <w:rFonts w:ascii="Arial" w:eastAsia="Arial" w:hAnsi="Arial" w:cs="Arial"/>
          <w:sz w:val="20"/>
          <w:szCs w:val="20"/>
          <w:lang w:val="en-US"/>
        </w:rPr>
        <w:t xml:space="preserve">DIPLO proposes a breakthrough, thermodynamically efficient method to convert MPW directly into light olefins through </w:t>
      </w:r>
      <w:r w:rsidRPr="099EA149">
        <w:rPr>
          <w:rFonts w:ascii="Arial" w:eastAsia="Arial" w:hAnsi="Arial" w:cs="Arial"/>
          <w:b/>
          <w:bCs/>
          <w:sz w:val="20"/>
          <w:szCs w:val="20"/>
          <w:lang w:val="en-US"/>
        </w:rPr>
        <w:t>direct steam cracking</w:t>
      </w:r>
      <w:r w:rsidRPr="099EA149">
        <w:rPr>
          <w:rFonts w:ascii="Arial" w:eastAsia="Arial" w:hAnsi="Arial" w:cs="Arial"/>
          <w:sz w:val="20"/>
          <w:szCs w:val="20"/>
          <w:lang w:val="en-US"/>
        </w:rPr>
        <w:t>, bypassing pyrolysis</w:t>
      </w:r>
      <w:r w:rsidRPr="099EA149">
        <w:rPr>
          <w:rFonts w:ascii="Cambria Math" w:eastAsia="Arial" w:hAnsi="Cambria Math" w:cs="Cambria Math"/>
          <w:sz w:val="20"/>
          <w:szCs w:val="20"/>
          <w:lang w:val="en-US"/>
        </w:rPr>
        <w:t>‑</w:t>
      </w:r>
      <w:r w:rsidRPr="099EA149">
        <w:rPr>
          <w:rFonts w:ascii="Arial" w:eastAsia="Arial" w:hAnsi="Arial" w:cs="Arial"/>
          <w:sz w:val="20"/>
          <w:szCs w:val="20"/>
          <w:lang w:val="en-US"/>
        </w:rPr>
        <w:t xml:space="preserve">oil production and eliminating expensive hydrotreatment. By coupling </w:t>
      </w:r>
      <w:r w:rsidRPr="099EA149">
        <w:rPr>
          <w:rFonts w:ascii="Arial" w:eastAsia="Arial" w:hAnsi="Arial" w:cs="Arial"/>
          <w:b/>
          <w:bCs/>
          <w:sz w:val="20"/>
          <w:szCs w:val="20"/>
          <w:lang w:val="en-US"/>
        </w:rPr>
        <w:t>advanced impurity management</w:t>
      </w:r>
      <w:r w:rsidRPr="099EA149">
        <w:rPr>
          <w:rFonts w:ascii="Arial" w:eastAsia="Arial" w:hAnsi="Arial" w:cs="Arial"/>
          <w:sz w:val="20"/>
          <w:szCs w:val="20"/>
          <w:lang w:val="en-US"/>
        </w:rPr>
        <w:t xml:space="preserve"> with </w:t>
      </w:r>
      <w:r w:rsidRPr="099EA149">
        <w:rPr>
          <w:rFonts w:ascii="Arial" w:eastAsia="Arial" w:hAnsi="Arial" w:cs="Arial"/>
          <w:b/>
          <w:bCs/>
          <w:sz w:val="20"/>
          <w:szCs w:val="20"/>
          <w:lang w:val="en-US"/>
        </w:rPr>
        <w:t>optimized reactor concepts</w:t>
      </w:r>
      <w:r w:rsidRPr="099EA149">
        <w:rPr>
          <w:rFonts w:ascii="Arial" w:eastAsia="Arial" w:hAnsi="Arial" w:cs="Arial"/>
          <w:sz w:val="20"/>
          <w:szCs w:val="20"/>
          <w:lang w:val="en-US"/>
        </w:rPr>
        <w:t>, the project aims to reach &gt;50 wt% olefin yields with very low coke formation and minimal carbon loss. This route increases recycled content, reduces CO</w:t>
      </w:r>
      <w:r w:rsidRPr="099EA149">
        <w:rPr>
          <w:rFonts w:ascii="Arial" w:eastAsia="Arial" w:hAnsi="Arial" w:cs="Arial"/>
          <w:sz w:val="20"/>
          <w:szCs w:val="20"/>
          <w:vertAlign w:val="subscript"/>
          <w:lang w:val="en-US"/>
        </w:rPr>
        <w:t>2</w:t>
      </w:r>
      <w:r w:rsidRPr="099EA149">
        <w:rPr>
          <w:rFonts w:ascii="Arial" w:eastAsia="Arial" w:hAnsi="Arial" w:cs="Arial"/>
          <w:sz w:val="20"/>
          <w:szCs w:val="20"/>
          <w:lang w:val="en-US"/>
        </w:rPr>
        <w:t xml:space="preserve"> emissions, and integrates into existing petrochemical infrastructure. DIPLO directly contributes to Moonshot Path 2 (Circularity of Carbon), advances KPIs on recycled content and CO</w:t>
      </w:r>
      <w:r w:rsidRPr="099EA149">
        <w:rPr>
          <w:rFonts w:ascii="Arial" w:eastAsia="Arial" w:hAnsi="Arial" w:cs="Arial"/>
          <w:sz w:val="20"/>
          <w:szCs w:val="20"/>
          <w:vertAlign w:val="subscript"/>
          <w:lang w:val="en-US"/>
        </w:rPr>
        <w:t>2</w:t>
      </w:r>
      <w:r w:rsidRPr="099EA149">
        <w:rPr>
          <w:rFonts w:ascii="Arial" w:eastAsia="Arial" w:hAnsi="Arial" w:cs="Arial"/>
          <w:sz w:val="20"/>
          <w:szCs w:val="20"/>
          <w:lang w:val="en-US"/>
        </w:rPr>
        <w:t xml:space="preserve"> reduction, and supports Flemish industry in meeting future circularity targets.</w:t>
      </w:r>
    </w:p>
    <w:p w14:paraId="39A075B8" w14:textId="77777777" w:rsidR="00453D12" w:rsidRDefault="00453D12" w:rsidP="00453D12">
      <w:pPr>
        <w:spacing w:after="0" w:line="300" w:lineRule="auto"/>
        <w:jc w:val="center"/>
      </w:pPr>
      <w:r>
        <w:rPr>
          <w:noProof/>
        </w:rPr>
        <w:drawing>
          <wp:inline distT="0" distB="0" distL="0" distR="0" wp14:anchorId="1283BE99" wp14:editId="63339EF7">
            <wp:extent cx="5314604" cy="1360516"/>
            <wp:effectExtent l="0" t="0" r="0" b="0"/>
            <wp:docPr id="14667215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721525" name="Picture 1466721525"/>
                    <pic:cNvPicPr/>
                  </pic:nvPicPr>
                  <pic:blipFill>
                    <a:blip r:embed="rId13">
                      <a:extLst>
                        <a:ext uri="{28A0092B-C50C-407E-A947-70E740481C1C}">
                          <a14:useLocalDpi xmlns:a14="http://schemas.microsoft.com/office/drawing/2010/main"/>
                        </a:ext>
                      </a:extLst>
                    </a:blip>
                    <a:stretch>
                      <a:fillRect/>
                    </a:stretch>
                  </pic:blipFill>
                  <pic:spPr>
                    <a:xfrm>
                      <a:off x="0" y="0"/>
                      <a:ext cx="5314604" cy="1360516"/>
                    </a:xfrm>
                    <a:prstGeom prst="rect">
                      <a:avLst/>
                    </a:prstGeom>
                  </pic:spPr>
                </pic:pic>
              </a:graphicData>
            </a:graphic>
          </wp:inline>
        </w:drawing>
      </w:r>
    </w:p>
    <w:p w14:paraId="5BD0DC39" w14:textId="77777777" w:rsidR="00453D12" w:rsidRPr="008B0839" w:rsidRDefault="00453D12" w:rsidP="00453D12">
      <w:pPr>
        <w:spacing w:before="210" w:after="210" w:line="300" w:lineRule="auto"/>
        <w:jc w:val="both"/>
        <w:rPr>
          <w:rFonts w:ascii="Arial" w:eastAsia="Arial" w:hAnsi="Arial" w:cs="Arial"/>
          <w:sz w:val="20"/>
          <w:szCs w:val="20"/>
          <w:lang w:val="en-US"/>
        </w:rPr>
      </w:pPr>
      <w:r w:rsidRPr="1C9B2DEB">
        <w:rPr>
          <w:rFonts w:ascii="Arial" w:eastAsia="Arial" w:hAnsi="Arial" w:cs="Arial"/>
          <w:b/>
          <w:bCs/>
          <w:i/>
          <w:iCs/>
          <w:color w:val="000000" w:themeColor="text1"/>
          <w:sz w:val="20"/>
          <w:szCs w:val="20"/>
          <w:u w:val="single"/>
          <w:lang w:val="en-US"/>
        </w:rPr>
        <w:t>Approach</w:t>
      </w:r>
      <w:r w:rsidRPr="1C9B2DEB">
        <w:rPr>
          <w:rFonts w:ascii="Arial" w:eastAsia="Arial" w:hAnsi="Arial" w:cs="Arial"/>
          <w:b/>
          <w:bCs/>
          <w:i/>
          <w:iCs/>
          <w:color w:val="000000" w:themeColor="text1"/>
          <w:sz w:val="20"/>
          <w:szCs w:val="20"/>
          <w:lang w:val="en-US"/>
        </w:rPr>
        <w:t xml:space="preserve">: </w:t>
      </w:r>
      <w:r w:rsidRPr="1C9B2DEB">
        <w:rPr>
          <w:rFonts w:ascii="Arial" w:eastAsia="Arial" w:hAnsi="Arial" w:cs="Arial"/>
          <w:sz w:val="20"/>
          <w:szCs w:val="20"/>
          <w:lang w:val="en-US"/>
        </w:rPr>
        <w:t>DIPLO is organized into four integrated work packages:</w:t>
      </w:r>
      <w:r>
        <w:rPr>
          <w:rFonts w:ascii="Arial" w:eastAsia="Arial" w:hAnsi="Arial" w:cs="Arial"/>
          <w:sz w:val="20"/>
          <w:szCs w:val="20"/>
          <w:lang w:val="en-US"/>
        </w:rPr>
        <w:t xml:space="preserve"> </w:t>
      </w:r>
      <w:r w:rsidRPr="1C9B2DEB">
        <w:rPr>
          <w:rFonts w:ascii="Arial" w:eastAsia="Arial" w:hAnsi="Arial" w:cs="Arial"/>
          <w:b/>
          <w:bCs/>
          <w:sz w:val="20"/>
          <w:szCs w:val="20"/>
          <w:lang w:val="en-US"/>
        </w:rPr>
        <w:t>WP1</w:t>
      </w:r>
      <w:r>
        <w:rPr>
          <w:rFonts w:ascii="Arial" w:eastAsia="Arial" w:hAnsi="Arial" w:cs="Arial"/>
          <w:b/>
          <w:bCs/>
          <w:sz w:val="20"/>
          <w:szCs w:val="20"/>
          <w:lang w:val="en-US"/>
        </w:rPr>
        <w:t xml:space="preserve"> - Pre-treatment</w:t>
      </w:r>
      <w:r w:rsidRPr="1C9B2DEB">
        <w:rPr>
          <w:rFonts w:ascii="Arial" w:eastAsia="Arial" w:hAnsi="Arial" w:cs="Arial"/>
          <w:b/>
          <w:bCs/>
          <w:sz w:val="20"/>
          <w:szCs w:val="20"/>
          <w:lang w:val="en-US"/>
        </w:rPr>
        <w:t xml:space="preserve"> (CSCE, LCPE, SCALINT):</w:t>
      </w:r>
      <w:r w:rsidRPr="1C9B2DEB">
        <w:rPr>
          <w:rFonts w:ascii="Arial" w:eastAsia="Arial" w:hAnsi="Arial" w:cs="Arial"/>
          <w:sz w:val="20"/>
          <w:szCs w:val="20"/>
          <w:lang w:val="en-US"/>
        </w:rPr>
        <w:t xml:space="preserve"> Development of continuous deep reactive  extraction to remove first</w:t>
      </w:r>
      <w:r w:rsidRPr="1C9B2DEB">
        <w:rPr>
          <w:rFonts w:ascii="Cambria Math" w:eastAsia="Arial" w:hAnsi="Cambria Math" w:cs="Cambria Math"/>
          <w:sz w:val="20"/>
          <w:szCs w:val="20"/>
          <w:lang w:val="en-US"/>
        </w:rPr>
        <w:t>‑</w:t>
      </w:r>
      <w:r w:rsidRPr="1C9B2DEB">
        <w:rPr>
          <w:rFonts w:ascii="Arial" w:eastAsia="Arial" w:hAnsi="Arial" w:cs="Arial"/>
          <w:sz w:val="20"/>
          <w:szCs w:val="20"/>
          <w:lang w:val="en-US"/>
        </w:rPr>
        <w:t>, second</w:t>
      </w:r>
      <w:r w:rsidRPr="1C9B2DEB">
        <w:rPr>
          <w:rFonts w:ascii="Cambria Math" w:eastAsia="Arial" w:hAnsi="Cambria Math" w:cs="Cambria Math"/>
          <w:sz w:val="20"/>
          <w:szCs w:val="20"/>
          <w:lang w:val="en-US"/>
        </w:rPr>
        <w:t>‑</w:t>
      </w:r>
      <w:r w:rsidRPr="1C9B2DEB">
        <w:rPr>
          <w:rFonts w:ascii="Arial" w:eastAsia="Arial" w:hAnsi="Arial" w:cs="Arial"/>
          <w:sz w:val="20"/>
          <w:szCs w:val="20"/>
          <w:lang w:val="en-US"/>
        </w:rPr>
        <w:t>, and third</w:t>
      </w:r>
      <w:r w:rsidRPr="1C9B2DEB">
        <w:rPr>
          <w:rFonts w:ascii="Cambria Math" w:eastAsia="Arial" w:hAnsi="Cambria Math" w:cs="Cambria Math"/>
          <w:sz w:val="20"/>
          <w:szCs w:val="20"/>
          <w:lang w:val="en-US"/>
        </w:rPr>
        <w:t>‑</w:t>
      </w:r>
      <w:r w:rsidRPr="1C9B2DEB">
        <w:rPr>
          <w:rFonts w:ascii="Arial" w:eastAsia="Arial" w:hAnsi="Arial" w:cs="Arial"/>
          <w:sz w:val="20"/>
          <w:szCs w:val="20"/>
          <w:lang w:val="en-US"/>
        </w:rPr>
        <w:t>level contaminants from MPW using a modular, instrumented twin</w:t>
      </w:r>
      <w:r w:rsidRPr="1C9B2DEB">
        <w:rPr>
          <w:rFonts w:ascii="Cambria Math" w:eastAsia="Arial" w:hAnsi="Cambria Math" w:cs="Cambria Math"/>
          <w:sz w:val="20"/>
          <w:szCs w:val="20"/>
          <w:lang w:val="en-US"/>
        </w:rPr>
        <w:t>‑</w:t>
      </w:r>
      <w:r w:rsidRPr="1C9B2DEB">
        <w:rPr>
          <w:rFonts w:ascii="Arial" w:eastAsia="Arial" w:hAnsi="Arial" w:cs="Arial"/>
          <w:sz w:val="20"/>
          <w:szCs w:val="20"/>
          <w:lang w:val="en-US"/>
        </w:rPr>
        <w:t xml:space="preserve">screw compounding platform. </w:t>
      </w:r>
      <w:r w:rsidRPr="1C9B2DEB">
        <w:rPr>
          <w:rFonts w:ascii="Arial" w:eastAsia="Arial" w:hAnsi="Arial" w:cs="Arial"/>
          <w:b/>
          <w:bCs/>
          <w:sz w:val="20"/>
          <w:szCs w:val="20"/>
          <w:lang w:val="en-US"/>
        </w:rPr>
        <w:t>WP2 - Reactor optimization and design</w:t>
      </w:r>
      <w:r>
        <w:rPr>
          <w:rFonts w:ascii="Arial" w:eastAsia="Arial" w:hAnsi="Arial" w:cs="Arial"/>
          <w:b/>
          <w:bCs/>
          <w:sz w:val="20"/>
          <w:szCs w:val="20"/>
          <w:lang w:val="en-US"/>
        </w:rPr>
        <w:t xml:space="preserve"> for steam cracking</w:t>
      </w:r>
      <w:r w:rsidRPr="1C9B2DEB">
        <w:rPr>
          <w:rFonts w:ascii="Arial" w:eastAsia="Arial" w:hAnsi="Arial" w:cs="Arial"/>
          <w:b/>
          <w:bCs/>
          <w:sz w:val="20"/>
          <w:szCs w:val="20"/>
          <w:lang w:val="en-US"/>
        </w:rPr>
        <w:t xml:space="preserve"> (LCT, CSCE):</w:t>
      </w:r>
      <w:r w:rsidRPr="1C9B2DEB">
        <w:rPr>
          <w:rFonts w:ascii="Arial" w:eastAsia="Arial" w:hAnsi="Arial" w:cs="Arial"/>
          <w:sz w:val="20"/>
          <w:szCs w:val="20"/>
          <w:lang w:val="en-US"/>
        </w:rPr>
        <w:t xml:space="preserve"> Modeling and experimental validation of fluidized</w:t>
      </w:r>
      <w:r w:rsidRPr="1C9B2DEB">
        <w:rPr>
          <w:rFonts w:ascii="Cambria Math" w:eastAsia="Arial" w:hAnsi="Cambria Math" w:cs="Cambria Math"/>
          <w:sz w:val="20"/>
          <w:szCs w:val="20"/>
          <w:lang w:val="en-US"/>
        </w:rPr>
        <w:t>‑</w:t>
      </w:r>
      <w:r w:rsidRPr="1C9B2DEB">
        <w:rPr>
          <w:rFonts w:ascii="Arial" w:eastAsia="Arial" w:hAnsi="Arial" w:cs="Arial"/>
          <w:sz w:val="20"/>
          <w:szCs w:val="20"/>
          <w:lang w:val="en-US"/>
        </w:rPr>
        <w:t>bed and spouted</w:t>
      </w:r>
      <w:r w:rsidRPr="1C9B2DEB">
        <w:rPr>
          <w:rFonts w:ascii="Cambria Math" w:eastAsia="Arial" w:hAnsi="Cambria Math" w:cs="Cambria Math"/>
          <w:sz w:val="20"/>
          <w:szCs w:val="20"/>
          <w:lang w:val="en-US"/>
        </w:rPr>
        <w:t>‑</w:t>
      </w:r>
      <w:r w:rsidRPr="1C9B2DEB">
        <w:rPr>
          <w:rFonts w:ascii="Arial" w:eastAsia="Arial" w:hAnsi="Arial" w:cs="Arial"/>
          <w:sz w:val="20"/>
          <w:szCs w:val="20"/>
          <w:lang w:val="en-US"/>
        </w:rPr>
        <w:t>bed reactor concepts using CFD, kinetic modeling, and data from micro</w:t>
      </w:r>
      <w:r w:rsidRPr="1C9B2DEB">
        <w:rPr>
          <w:rFonts w:ascii="Cambria Math" w:eastAsia="Arial" w:hAnsi="Cambria Math" w:cs="Cambria Math"/>
          <w:sz w:val="20"/>
          <w:szCs w:val="20"/>
          <w:lang w:val="en-US"/>
        </w:rPr>
        <w:t>‑</w:t>
      </w:r>
      <w:r w:rsidRPr="1C9B2DEB">
        <w:rPr>
          <w:rFonts w:ascii="Arial" w:eastAsia="Arial" w:hAnsi="Arial" w:cs="Arial"/>
          <w:sz w:val="20"/>
          <w:szCs w:val="20"/>
          <w:lang w:val="en-US"/>
        </w:rPr>
        <w:t xml:space="preserve"> and pilot</w:t>
      </w:r>
      <w:r w:rsidRPr="1C9B2DEB">
        <w:rPr>
          <w:rFonts w:ascii="Cambria Math" w:eastAsia="Arial" w:hAnsi="Cambria Math" w:cs="Cambria Math"/>
          <w:sz w:val="20"/>
          <w:szCs w:val="20"/>
          <w:lang w:val="en-US"/>
        </w:rPr>
        <w:t>‑</w:t>
      </w:r>
      <w:r w:rsidRPr="1C9B2DEB">
        <w:rPr>
          <w:rFonts w:ascii="Arial" w:eastAsia="Arial" w:hAnsi="Arial" w:cs="Arial"/>
          <w:sz w:val="20"/>
          <w:szCs w:val="20"/>
          <w:lang w:val="en-US"/>
        </w:rPr>
        <w:t xml:space="preserve">scale reactors. Objectives include maximizing olefin yield and minimizing secondary reactions and coke. </w:t>
      </w:r>
      <w:r w:rsidRPr="1C9B2DEB">
        <w:rPr>
          <w:rFonts w:ascii="Arial" w:eastAsia="Arial" w:hAnsi="Arial" w:cs="Arial"/>
          <w:b/>
          <w:bCs/>
          <w:sz w:val="20"/>
          <w:szCs w:val="20"/>
          <w:lang w:val="en-US"/>
        </w:rPr>
        <w:t>WP3</w:t>
      </w:r>
      <w:r>
        <w:rPr>
          <w:rFonts w:ascii="Arial" w:eastAsia="Arial" w:hAnsi="Arial" w:cs="Arial"/>
          <w:b/>
          <w:bCs/>
          <w:sz w:val="20"/>
          <w:szCs w:val="20"/>
          <w:lang w:val="en-US"/>
        </w:rPr>
        <w:t xml:space="preserve"> - Post-treatment and gas purification</w:t>
      </w:r>
      <w:r w:rsidRPr="1C9B2DEB">
        <w:rPr>
          <w:rFonts w:ascii="Arial" w:eastAsia="Arial" w:hAnsi="Arial" w:cs="Arial"/>
          <w:b/>
          <w:bCs/>
          <w:sz w:val="20"/>
          <w:szCs w:val="20"/>
          <w:lang w:val="en-US"/>
        </w:rPr>
        <w:t xml:space="preserve"> (LCPE, CSCE, LCT):</w:t>
      </w:r>
      <w:r w:rsidRPr="1C9B2DEB">
        <w:rPr>
          <w:rFonts w:ascii="Arial" w:eastAsia="Arial" w:hAnsi="Arial" w:cs="Arial"/>
          <w:sz w:val="20"/>
          <w:szCs w:val="20"/>
          <w:lang w:val="en-US"/>
        </w:rPr>
        <w:t xml:space="preserve"> Rapid quenching, separation of water and aromatics, and advanced gas cleaning to achieve polymer</w:t>
      </w:r>
      <w:r w:rsidRPr="1C9B2DEB">
        <w:rPr>
          <w:rFonts w:ascii="Cambria Math" w:eastAsia="Arial" w:hAnsi="Cambria Math" w:cs="Cambria Math"/>
          <w:sz w:val="20"/>
          <w:szCs w:val="20"/>
          <w:lang w:val="en-US"/>
        </w:rPr>
        <w:t>‑</w:t>
      </w:r>
      <w:r w:rsidRPr="1C9B2DEB">
        <w:rPr>
          <w:rFonts w:ascii="Arial" w:eastAsia="Arial" w:hAnsi="Arial" w:cs="Arial"/>
          <w:sz w:val="20"/>
          <w:szCs w:val="20"/>
          <w:lang w:val="en-US"/>
        </w:rPr>
        <w:t xml:space="preserve">grade olefins that fit existing downstream purification cascades. </w:t>
      </w:r>
      <w:r w:rsidRPr="1C9B2DEB">
        <w:rPr>
          <w:rFonts w:ascii="Arial" w:eastAsia="Arial" w:hAnsi="Arial" w:cs="Arial"/>
          <w:b/>
          <w:bCs/>
          <w:sz w:val="20"/>
          <w:szCs w:val="20"/>
          <w:lang w:val="en-US"/>
        </w:rPr>
        <w:t>WP4 - Techno</w:t>
      </w:r>
      <w:r w:rsidRPr="1C9B2DEB">
        <w:rPr>
          <w:rFonts w:ascii="Cambria Math" w:eastAsia="Arial" w:hAnsi="Cambria Math" w:cs="Cambria Math"/>
          <w:b/>
          <w:bCs/>
          <w:sz w:val="20"/>
          <w:szCs w:val="20"/>
          <w:lang w:val="en-US"/>
        </w:rPr>
        <w:t>‑</w:t>
      </w:r>
      <w:r w:rsidRPr="1C9B2DEB">
        <w:rPr>
          <w:rFonts w:ascii="Arial" w:eastAsia="Arial" w:hAnsi="Arial" w:cs="Arial"/>
          <w:b/>
          <w:bCs/>
          <w:sz w:val="20"/>
          <w:szCs w:val="20"/>
          <w:lang w:val="en-US"/>
        </w:rPr>
        <w:t>economic and environmental assessment (all partners):</w:t>
      </w:r>
      <w:r w:rsidRPr="1C9B2DEB">
        <w:rPr>
          <w:rFonts w:ascii="Arial" w:eastAsia="Arial" w:hAnsi="Arial" w:cs="Arial"/>
          <w:sz w:val="20"/>
          <w:szCs w:val="20"/>
          <w:lang w:val="en-US"/>
        </w:rPr>
        <w:t xml:space="preserve"> Evaluation of energy demand, carbon footprint, economic feasibility, and scalability, benchmarked against conventional naphtha cracking and multistep pyrolysis routes. Together, the consortium builds the full knowledge chain from heterogeneous MPW to purified light olefins, enabling a scalable route for high</w:t>
      </w:r>
      <w:r w:rsidRPr="1C9B2DEB">
        <w:rPr>
          <w:rFonts w:ascii="Cambria Math" w:eastAsia="Arial" w:hAnsi="Cambria Math" w:cs="Cambria Math"/>
          <w:sz w:val="20"/>
          <w:szCs w:val="20"/>
          <w:lang w:val="en-US"/>
        </w:rPr>
        <w:t>‑</w:t>
      </w:r>
      <w:r w:rsidRPr="1C9B2DEB">
        <w:rPr>
          <w:rFonts w:ascii="Arial" w:eastAsia="Arial" w:hAnsi="Arial" w:cs="Arial"/>
          <w:sz w:val="20"/>
          <w:szCs w:val="20"/>
          <w:lang w:val="en-US"/>
        </w:rPr>
        <w:t>quality recycled chemical building blocks.</w:t>
      </w:r>
    </w:p>
    <w:p w14:paraId="769D6260" w14:textId="77777777" w:rsidR="00453D12" w:rsidRPr="00FD7EEB" w:rsidRDefault="00453D12" w:rsidP="00453D12">
      <w:pPr>
        <w:spacing w:before="210" w:after="210" w:line="300" w:lineRule="auto"/>
        <w:jc w:val="both"/>
        <w:rPr>
          <w:rFonts w:ascii="Arial" w:eastAsia="Arial" w:hAnsi="Arial" w:cs="Arial"/>
          <w:color w:val="000000"/>
          <w:sz w:val="20"/>
          <w:szCs w:val="20"/>
        </w:rPr>
      </w:pPr>
      <w:r w:rsidRPr="1C9B2DEB">
        <w:rPr>
          <w:rFonts w:ascii="Arial" w:eastAsia="Arial" w:hAnsi="Arial" w:cs="Arial"/>
          <w:b/>
          <w:bCs/>
          <w:i/>
          <w:iCs/>
          <w:color w:val="000000" w:themeColor="text1"/>
          <w:sz w:val="20"/>
          <w:szCs w:val="20"/>
          <w:u w:val="single"/>
          <w:lang w:val="en-US"/>
        </w:rPr>
        <w:t>Contact details</w:t>
      </w:r>
      <w:r w:rsidRPr="1C9B2DEB">
        <w:rPr>
          <w:rFonts w:ascii="Arial" w:eastAsia="Arial" w:hAnsi="Arial" w:cs="Arial"/>
          <w:color w:val="000000" w:themeColor="text1"/>
          <w:sz w:val="20"/>
          <w:szCs w:val="20"/>
          <w:lang w:val="en-US"/>
        </w:rPr>
        <w:t xml:space="preserve">: </w:t>
      </w:r>
      <w:r w:rsidRPr="1C9B2DEB">
        <w:rPr>
          <w:rFonts w:ascii="Arial" w:eastAsia="Arial" w:hAnsi="Arial" w:cs="Arial"/>
          <w:b/>
          <w:bCs/>
          <w:sz w:val="20"/>
          <w:szCs w:val="20"/>
          <w:lang w:val="en-US"/>
        </w:rPr>
        <w:t>KU Leuven</w:t>
      </w:r>
      <w:r>
        <w:rPr>
          <w:rFonts w:ascii="Arial" w:eastAsia="Arial" w:hAnsi="Arial" w:cs="Arial"/>
          <w:b/>
          <w:bCs/>
          <w:sz w:val="20"/>
          <w:szCs w:val="20"/>
          <w:lang w:val="en-US"/>
        </w:rPr>
        <w:t xml:space="preserve"> - </w:t>
      </w:r>
      <w:r w:rsidRPr="1C9B2DEB">
        <w:rPr>
          <w:rFonts w:ascii="Arial" w:eastAsia="Arial" w:hAnsi="Arial" w:cs="Arial"/>
          <w:b/>
          <w:bCs/>
          <w:sz w:val="20"/>
          <w:szCs w:val="20"/>
          <w:lang w:val="en-US"/>
        </w:rPr>
        <w:t>CSCE:</w:t>
      </w:r>
      <w:r w:rsidRPr="1C9B2DEB">
        <w:rPr>
          <w:rFonts w:ascii="Arial" w:eastAsia="Arial" w:hAnsi="Arial" w:cs="Arial"/>
          <w:sz w:val="20"/>
          <w:szCs w:val="20"/>
          <w:lang w:val="en-US"/>
        </w:rPr>
        <w:t xml:space="preserve"> Prof. Bert Sels</w:t>
      </w:r>
      <w:r>
        <w:rPr>
          <w:rFonts w:ascii="Arial" w:eastAsia="Arial" w:hAnsi="Arial" w:cs="Arial"/>
          <w:sz w:val="20"/>
          <w:szCs w:val="20"/>
          <w:lang w:val="en-US"/>
        </w:rPr>
        <w:t xml:space="preserve"> (bert.sels@kuleuven.be)</w:t>
      </w:r>
      <w:r w:rsidRPr="1C9B2DEB">
        <w:rPr>
          <w:rFonts w:ascii="Arial" w:eastAsia="Arial" w:hAnsi="Arial" w:cs="Arial"/>
          <w:sz w:val="20"/>
          <w:szCs w:val="20"/>
          <w:lang w:val="en-US"/>
        </w:rPr>
        <w:t xml:space="preserve">. </w:t>
      </w:r>
      <w:r w:rsidRPr="1C9B2DEB">
        <w:rPr>
          <w:rFonts w:ascii="Arial" w:eastAsia="Arial" w:hAnsi="Arial" w:cs="Arial"/>
          <w:b/>
          <w:bCs/>
          <w:sz w:val="20"/>
          <w:szCs w:val="20"/>
          <w:lang w:val="en-US"/>
        </w:rPr>
        <w:t xml:space="preserve">KU Leuven </w:t>
      </w:r>
      <w:r>
        <w:rPr>
          <w:rFonts w:ascii="Arial" w:eastAsia="Arial" w:hAnsi="Arial" w:cs="Arial"/>
          <w:b/>
          <w:bCs/>
          <w:sz w:val="20"/>
          <w:szCs w:val="20"/>
          <w:lang w:val="en-US"/>
        </w:rPr>
        <w:t xml:space="preserve">- </w:t>
      </w:r>
      <w:r w:rsidRPr="1C9B2DEB">
        <w:rPr>
          <w:rFonts w:ascii="Arial" w:eastAsia="Arial" w:hAnsi="Arial" w:cs="Arial"/>
          <w:b/>
          <w:bCs/>
          <w:sz w:val="20"/>
          <w:szCs w:val="20"/>
          <w:lang w:val="en-US"/>
        </w:rPr>
        <w:t>SCALINT:</w:t>
      </w:r>
      <w:r w:rsidRPr="1C9B2DEB">
        <w:rPr>
          <w:rFonts w:ascii="Arial" w:eastAsia="Arial" w:hAnsi="Arial" w:cs="Arial"/>
          <w:sz w:val="20"/>
          <w:szCs w:val="20"/>
          <w:lang w:val="en-US"/>
        </w:rPr>
        <w:t xml:space="preserve"> Prof. Frederik Desplentere</w:t>
      </w:r>
      <w:r>
        <w:rPr>
          <w:rFonts w:ascii="Arial" w:eastAsia="Arial" w:hAnsi="Arial" w:cs="Arial"/>
          <w:sz w:val="20"/>
          <w:szCs w:val="20"/>
          <w:lang w:val="en-US"/>
        </w:rPr>
        <w:t xml:space="preserve"> (</w:t>
      </w:r>
      <w:r w:rsidRPr="00395574">
        <w:rPr>
          <w:rFonts w:ascii="Arial" w:eastAsia="Arial" w:hAnsi="Arial" w:cs="Arial"/>
          <w:sz w:val="20"/>
          <w:szCs w:val="20"/>
          <w:lang w:val="en-US"/>
        </w:rPr>
        <w:t>frederik.desplentere@kuleuven.be</w:t>
      </w:r>
      <w:r>
        <w:rPr>
          <w:rFonts w:ascii="Arial" w:eastAsia="Arial" w:hAnsi="Arial" w:cs="Arial"/>
          <w:sz w:val="20"/>
          <w:szCs w:val="20"/>
          <w:lang w:val="en-US"/>
        </w:rPr>
        <w:t>)</w:t>
      </w:r>
      <w:r w:rsidRPr="1C9B2DEB">
        <w:rPr>
          <w:rFonts w:ascii="Arial" w:eastAsia="Arial" w:hAnsi="Arial" w:cs="Arial"/>
          <w:sz w:val="20"/>
          <w:szCs w:val="20"/>
          <w:lang w:val="en-US"/>
        </w:rPr>
        <w:t xml:space="preserve">. </w:t>
      </w:r>
      <w:r w:rsidRPr="00FD7EEB">
        <w:rPr>
          <w:rFonts w:ascii="Arial" w:eastAsia="Arial" w:hAnsi="Arial" w:cs="Arial"/>
          <w:b/>
          <w:bCs/>
          <w:sz w:val="20"/>
          <w:szCs w:val="20"/>
        </w:rPr>
        <w:t>UGent</w:t>
      </w:r>
      <w:r>
        <w:rPr>
          <w:rFonts w:ascii="Arial" w:eastAsia="Arial" w:hAnsi="Arial" w:cs="Arial"/>
          <w:b/>
          <w:bCs/>
          <w:sz w:val="20"/>
          <w:szCs w:val="20"/>
        </w:rPr>
        <w:t xml:space="preserve"> - </w:t>
      </w:r>
      <w:r w:rsidRPr="00FD7EEB">
        <w:rPr>
          <w:rFonts w:ascii="Arial" w:eastAsia="Arial" w:hAnsi="Arial" w:cs="Arial"/>
          <w:b/>
          <w:bCs/>
          <w:sz w:val="20"/>
          <w:szCs w:val="20"/>
        </w:rPr>
        <w:t>LCT:</w:t>
      </w:r>
      <w:r w:rsidRPr="00FD7EEB">
        <w:rPr>
          <w:rFonts w:ascii="Arial" w:eastAsia="Arial" w:hAnsi="Arial" w:cs="Arial"/>
          <w:sz w:val="20"/>
          <w:szCs w:val="20"/>
        </w:rPr>
        <w:t xml:space="preserve"> Prof. Geraldine Heynderickx (Geraldine.Heynderickx@UGent.be). </w:t>
      </w:r>
      <w:r w:rsidRPr="00FD7EEB">
        <w:rPr>
          <w:rFonts w:ascii="Arial" w:eastAsia="Arial" w:hAnsi="Arial" w:cs="Arial"/>
          <w:b/>
          <w:bCs/>
          <w:sz w:val="20"/>
          <w:szCs w:val="20"/>
        </w:rPr>
        <w:t>UGent</w:t>
      </w:r>
      <w:r>
        <w:rPr>
          <w:rFonts w:ascii="Arial" w:eastAsia="Arial" w:hAnsi="Arial" w:cs="Arial"/>
          <w:b/>
          <w:bCs/>
          <w:sz w:val="20"/>
          <w:szCs w:val="20"/>
        </w:rPr>
        <w:t xml:space="preserve"> - </w:t>
      </w:r>
      <w:r w:rsidRPr="00FD7EEB">
        <w:rPr>
          <w:rFonts w:ascii="Arial" w:eastAsia="Arial" w:hAnsi="Arial" w:cs="Arial"/>
          <w:b/>
          <w:bCs/>
          <w:sz w:val="20"/>
          <w:szCs w:val="20"/>
        </w:rPr>
        <w:t>LCPE:</w:t>
      </w:r>
      <w:r w:rsidRPr="00FD7EEB">
        <w:rPr>
          <w:rFonts w:ascii="Arial" w:eastAsia="Arial" w:hAnsi="Arial" w:cs="Arial"/>
          <w:sz w:val="20"/>
          <w:szCs w:val="20"/>
        </w:rPr>
        <w:t xml:space="preserve"> Prof. Steven De Meester </w:t>
      </w:r>
      <w:r>
        <w:rPr>
          <w:rFonts w:ascii="Arial" w:eastAsia="Arial" w:hAnsi="Arial" w:cs="Arial"/>
          <w:sz w:val="20"/>
          <w:szCs w:val="20"/>
        </w:rPr>
        <w:t>(</w:t>
      </w:r>
      <w:r w:rsidRPr="00FD7EEB">
        <w:rPr>
          <w:rFonts w:ascii="Arial" w:eastAsia="Arial" w:hAnsi="Arial" w:cs="Arial"/>
          <w:sz w:val="20"/>
          <w:szCs w:val="20"/>
        </w:rPr>
        <w:t>steven.demeester@ugent.be</w:t>
      </w:r>
      <w:r>
        <w:rPr>
          <w:rFonts w:ascii="Arial" w:eastAsia="Arial" w:hAnsi="Arial" w:cs="Arial"/>
          <w:sz w:val="20"/>
          <w:szCs w:val="20"/>
        </w:rPr>
        <w:t>)</w:t>
      </w:r>
      <w:r w:rsidRPr="00FD7EEB">
        <w:rPr>
          <w:rFonts w:ascii="Arial" w:eastAsia="Arial" w:hAnsi="Arial" w:cs="Arial"/>
          <w:sz w:val="20"/>
          <w:szCs w:val="20"/>
        </w:rPr>
        <w:t>.</w:t>
      </w:r>
    </w:p>
    <w:p w14:paraId="2930B6BA" w14:textId="1AE1B807" w:rsidR="00F47EBA" w:rsidRPr="00F47EBA" w:rsidRDefault="00F47EBA" w:rsidP="00F47EBA">
      <w:pPr>
        <w:pStyle w:val="NoSpacing"/>
        <w:rPr>
          <w:b/>
          <w:bCs/>
          <w:sz w:val="32"/>
          <w:szCs w:val="36"/>
          <w:lang w:eastAsia="en-GB"/>
        </w:rPr>
      </w:pPr>
      <w:r w:rsidRPr="00F47EBA">
        <w:rPr>
          <w:b/>
          <w:bCs/>
          <w:noProof/>
          <w:sz w:val="32"/>
          <w:szCs w:val="36"/>
          <w:lang w:eastAsia="en-GB"/>
        </w:rPr>
        <w:lastRenderedPageBreak/>
        <mc:AlternateContent>
          <mc:Choice Requires="wps">
            <w:drawing>
              <wp:anchor distT="45720" distB="45720" distL="114300" distR="114300" simplePos="0" relativeHeight="251660288" behindDoc="0" locked="0" layoutInCell="1" allowOverlap="1" wp14:anchorId="2E35458B" wp14:editId="4CB9BDC3">
                <wp:simplePos x="0" y="0"/>
                <wp:positionH relativeFrom="margin">
                  <wp:align>left</wp:align>
                </wp:positionH>
                <wp:positionV relativeFrom="paragraph">
                  <wp:posOffset>537845</wp:posOffset>
                </wp:positionV>
                <wp:extent cx="5715000" cy="838835"/>
                <wp:effectExtent l="0" t="0" r="1905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39337"/>
                        </a:xfrm>
                        <a:prstGeom prst="rect">
                          <a:avLst/>
                        </a:prstGeom>
                        <a:solidFill>
                          <a:srgbClr val="FFFFFF"/>
                        </a:solidFill>
                        <a:ln w="19050">
                          <a:solidFill>
                            <a:srgbClr val="4E5A94"/>
                          </a:solidFill>
                          <a:miter lim="800000"/>
                          <a:headEnd/>
                          <a:tailEnd/>
                        </a:ln>
                      </wps:spPr>
                      <wps:txbx>
                        <w:txbxContent>
                          <w:p w14:paraId="0427E581" w14:textId="77777777" w:rsidR="00F47EBA" w:rsidRPr="00B16040" w:rsidRDefault="00F47EBA" w:rsidP="00F47EBA">
                            <w:pPr>
                              <w:jc w:val="both"/>
                              <w:rPr>
                                <w:lang w:val="en-GB"/>
                              </w:rPr>
                            </w:pPr>
                            <w:r w:rsidRPr="00422C26">
                              <w:rPr>
                                <w:i/>
                                <w:iCs/>
                                <w:color w:val="B03844"/>
                                <w:lang w:val="en-GB"/>
                              </w:rPr>
                              <w:t>G</w:t>
                            </w:r>
                            <w:r>
                              <w:rPr>
                                <w:i/>
                                <w:iCs/>
                                <w:color w:val="B03844"/>
                                <w:lang w:val="en-GB"/>
                              </w:rPr>
                              <w:t>RANDIOSE</w:t>
                            </w:r>
                            <w:r w:rsidRPr="00FC0B2E">
                              <w:rPr>
                                <w:lang w:val="en-GB"/>
                              </w:rPr>
                              <w:t xml:space="preserve"> develops next-generation adsor</w:t>
                            </w:r>
                            <w:r>
                              <w:rPr>
                                <w:lang w:val="en-GB"/>
                              </w:rPr>
                              <w:t xml:space="preserve">ption materials that can be integrated into existing plastic recycling processes. These tailored adsorbents aim to remove embedded contaminants </w:t>
                            </w:r>
                            <w:r w:rsidRPr="00FC0B2E">
                              <w:rPr>
                                <w:lang w:val="en-GB"/>
                              </w:rPr>
                              <w:t>below strict industrial and regulatory thresholds, enabling plastic waste to be upgraded for premium markets such as automotive parts, electronics, and food-contact materials.</w:t>
                            </w:r>
                            <w:r>
                              <w:rPr>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35458B" id="_x0000_t202" coordsize="21600,21600" o:spt="202" path="m,l,21600r21600,l21600,xe">
                <v:stroke joinstyle="miter"/>
                <v:path gradientshapeok="t" o:connecttype="rect"/>
              </v:shapetype>
              <v:shape id="Text Box 2" o:spid="_x0000_s1026" type="#_x0000_t202" style="position:absolute;left:0;text-align:left;margin-left:0;margin-top:42.35pt;width:450pt;height:66.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" strokecolor="#4e5a94" strokeweight="1.5pt">
                <v:textbox>
                  <w:txbxContent>
                    <w:p w14:paraId="0427E581" w14:textId="77777777" w:rsidR="00F47EBA" w:rsidRPr="00B16040" w:rsidRDefault="00F47EBA" w:rsidP="00F47EBA">
                      <w:pPr>
                        <w:jc w:val="both"/>
                        <w:rPr>
                          <w:lang w:val="en-GB"/>
                        </w:rPr>
                      </w:pPr>
                      <w:r w:rsidRPr="00422C26">
                        <w:rPr>
                          <w:i/>
                          <w:iCs/>
                          <w:color w:val="B03844"/>
                          <w:lang w:val="en-GB"/>
                        </w:rPr>
                        <w:t>G</w:t>
                      </w:r>
                      <w:r>
                        <w:rPr>
                          <w:i/>
                          <w:iCs/>
                          <w:color w:val="B03844"/>
                          <w:lang w:val="en-GB"/>
                        </w:rPr>
                        <w:t>RANDIOSE</w:t>
                      </w:r>
                      <w:r w:rsidRPr="00FC0B2E">
                        <w:rPr>
                          <w:lang w:val="en-GB"/>
                        </w:rPr>
                        <w:t xml:space="preserve"> develops next-generation adsor</w:t>
                      </w:r>
                      <w:r>
                        <w:rPr>
                          <w:lang w:val="en-GB"/>
                        </w:rPr>
                        <w:t xml:space="preserve">ption materials that can be integrated into existing plastic recycling processes. These tailored adsorbents aim to remove embedded contaminants </w:t>
                      </w:r>
                      <w:r w:rsidRPr="00FC0B2E">
                        <w:rPr>
                          <w:lang w:val="en-GB"/>
                        </w:rPr>
                        <w:t>below strict industrial and regulatory thresholds, enabling plastic waste to be upgraded for premium markets such as automotive parts, electronics, and food-contact materials.</w:t>
                      </w:r>
                      <w:r>
                        <w:rPr>
                          <w:lang w:val="en-GB"/>
                        </w:rPr>
                        <w:t xml:space="preserve"> </w:t>
                      </w:r>
                    </w:p>
                  </w:txbxContent>
                </v:textbox>
                <w10:wrap type="square" anchorx="margin"/>
              </v:shape>
            </w:pict>
          </mc:Fallback>
        </mc:AlternateContent>
      </w:r>
      <w:r w:rsidRPr="00F47EBA">
        <w:rPr>
          <w:b/>
          <w:bCs/>
          <w:sz w:val="32"/>
          <w:szCs w:val="36"/>
          <w:lang w:eastAsia="en-GB"/>
        </w:rPr>
        <w:t>Grandiose: Unlocking High-value Plastic Circularity through scalable adsorption technology</w:t>
      </w:r>
    </w:p>
    <w:p w14:paraId="4CDEB58B" w14:textId="77777777" w:rsidR="00F47EBA" w:rsidRPr="00781C87" w:rsidRDefault="00F47EBA" w:rsidP="00F47EBA">
      <w:pPr>
        <w:jc w:val="both"/>
        <w:rPr>
          <w:bCs/>
          <w:color w:val="B03844"/>
          <w:lang w:val="en-GB"/>
        </w:rPr>
      </w:pPr>
      <w:r w:rsidRPr="00635D85">
        <w:rPr>
          <w:b/>
          <w:color w:val="687F39"/>
          <w:lang w:val="en-GB"/>
        </w:rPr>
        <w:t>CHALLENGE:</w:t>
      </w:r>
      <w:r>
        <w:rPr>
          <w:bCs/>
          <w:color w:val="687F39"/>
          <w:lang w:val="en-GB"/>
        </w:rPr>
        <w:t xml:space="preserve"> </w:t>
      </w:r>
      <w:r w:rsidRPr="00F22456">
        <w:rPr>
          <w:bCs/>
          <w:color w:val="000000" w:themeColor="text1"/>
          <w:lang w:val="en-GB"/>
        </w:rPr>
        <w:t>While industrial sorting and mechanical recycling remove incorrectly sorted objects and secondary contaminants, such as caps and labels, to a certain extent, they are not capable of eliminating contaminants embedded within the polymer matrix, including additives, flame retardants, PFAS, and heavy metals. Therefore, alternative recycling approaches are being developed, such as dissolution-based recycling and pyrolysis, which aim to separate polymers from this so-called tertiary contamination. In dissolution recycling, contaminants must be removed from the polymer solution. In pyrolysis, heteroatoms such as chlorine, bromine</w:t>
      </w:r>
      <w:r>
        <w:rPr>
          <w:bCs/>
          <w:color w:val="000000" w:themeColor="text1"/>
          <w:lang w:val="en-GB"/>
        </w:rPr>
        <w:t>,</w:t>
      </w:r>
      <w:r w:rsidRPr="00F22456">
        <w:rPr>
          <w:bCs/>
          <w:color w:val="000000" w:themeColor="text1"/>
          <w:lang w:val="en-GB"/>
        </w:rPr>
        <w:t xml:space="preserve"> and nitrogen are converted into undesirable byproducts, which must be removed from the pyrolysis oil to prevent corrosion, fouling, and catalyst deactivation in downstream processes such as steam cracking or hydrotreatment. In both cases, adsorption represents a promising and versatile purification strategy. However, its application in plastic recycling remains relatively underexplored. Conventional adsorbents, such as activated carbon, are primarily optimized for aqueous systems and often exhibit limited performance in the apolar solvents and hydrocarbon matrices typically encountered in these plastic recycling processes. Furthermore, many additives possess relatively high molecular weights, limiting their access to microporous structures and reducing adsorption efficiency. This mismatch can result in increased adsorbent consumption and elevated operational costs.</w:t>
      </w:r>
    </w:p>
    <w:p w14:paraId="16E76346" w14:textId="77777777" w:rsidR="00F47EBA" w:rsidRPr="000A3AC8" w:rsidRDefault="00F47EBA" w:rsidP="00F47EBA">
      <w:pPr>
        <w:contextualSpacing/>
        <w:jc w:val="both"/>
        <w:rPr>
          <w:lang w:val="en-GB"/>
        </w:rPr>
      </w:pPr>
      <w:r w:rsidRPr="000A3AC8">
        <w:rPr>
          <w:b/>
          <w:color w:val="687F39"/>
          <w:lang w:val="en-GB"/>
        </w:rPr>
        <w:t>SOLUTION:</w:t>
      </w:r>
      <w:r>
        <w:rPr>
          <w:color w:val="687F39"/>
          <w:lang w:val="en-GB"/>
        </w:rPr>
        <w:t xml:space="preserve"> </w:t>
      </w:r>
      <w:r w:rsidRPr="000A3AC8">
        <w:rPr>
          <w:i/>
          <w:color w:val="B03844"/>
          <w:lang w:val="en-GB"/>
        </w:rPr>
        <w:t>GRANDIOSE</w:t>
      </w:r>
      <w:r w:rsidRPr="000A3AC8">
        <w:rPr>
          <w:lang w:val="en-GB"/>
        </w:rPr>
        <w:t xml:space="preserve"> </w:t>
      </w:r>
      <w:r>
        <w:rPr>
          <w:lang w:val="en-US"/>
        </w:rPr>
        <w:t>addresses</w:t>
      </w:r>
      <w:r w:rsidRPr="006745FB">
        <w:rPr>
          <w:lang w:val="en-US"/>
        </w:rPr>
        <w:t xml:space="preserve"> </w:t>
      </w:r>
      <w:r w:rsidRPr="000A3AC8">
        <w:rPr>
          <w:lang w:val="en-GB"/>
        </w:rPr>
        <w:t>this by designing three innovative platform absorbents:</w:t>
      </w:r>
      <w:r>
        <w:rPr>
          <w:lang w:val="en-GB"/>
        </w:rPr>
        <w:t xml:space="preserve"> </w:t>
      </w:r>
      <w:r w:rsidRPr="000A3AC8">
        <w:rPr>
          <w:b/>
          <w:color w:val="4E5A94"/>
          <w:lang w:val="en-GB"/>
        </w:rPr>
        <w:t>Molecularly Imprinted Polymers (MIPs), Functionalized Organoclays, and Hybrid Polymer–Ceramic materials</w:t>
      </w:r>
      <w:r w:rsidRPr="000A3AC8">
        <w:rPr>
          <w:color w:val="4E5A94"/>
          <w:lang w:val="en-GB"/>
        </w:rPr>
        <w:t xml:space="preserve">, </w:t>
      </w:r>
      <w:r w:rsidRPr="000A3AC8">
        <w:rPr>
          <w:lang w:val="en-GB"/>
        </w:rPr>
        <w:t>tailored specifically for application in apolar environments.</w:t>
      </w:r>
    </w:p>
    <w:p w14:paraId="45D83CBC" w14:textId="77777777" w:rsidR="00F47EBA" w:rsidRPr="00635D85" w:rsidRDefault="00F47EBA" w:rsidP="00F47EBA">
      <w:pPr>
        <w:contextualSpacing/>
        <w:jc w:val="both"/>
        <w:rPr>
          <w:b/>
          <w:lang w:val="en-GB"/>
        </w:rPr>
      </w:pPr>
      <w:r w:rsidRPr="00891980">
        <w:rPr>
          <w:b/>
          <w:noProof/>
        </w:rPr>
        <w:drawing>
          <wp:anchor distT="0" distB="0" distL="114300" distR="114300" simplePos="0" relativeHeight="251661312" behindDoc="0" locked="0" layoutInCell="1" allowOverlap="1" wp14:anchorId="0CB1BAA2" wp14:editId="195195B2">
            <wp:simplePos x="0" y="0"/>
            <wp:positionH relativeFrom="margin">
              <wp:align>left</wp:align>
            </wp:positionH>
            <wp:positionV relativeFrom="paragraph">
              <wp:posOffset>48260</wp:posOffset>
            </wp:positionV>
            <wp:extent cx="2339340" cy="2793365"/>
            <wp:effectExtent l="0" t="0" r="3810" b="6985"/>
            <wp:wrapSquare wrapText="bothSides"/>
            <wp:docPr id="1643988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9340" cy="2793365"/>
                    </a:xfrm>
                    <a:prstGeom prst="rect">
                      <a:avLst/>
                    </a:prstGeom>
                    <a:noFill/>
                  </pic:spPr>
                </pic:pic>
              </a:graphicData>
            </a:graphic>
            <wp14:sizeRelH relativeFrom="margin">
              <wp14:pctWidth>0</wp14:pctWidth>
            </wp14:sizeRelH>
            <wp14:sizeRelV relativeFrom="margin">
              <wp14:pctHeight>0</wp14:pctHeight>
            </wp14:sizeRelV>
          </wp:anchor>
        </w:drawing>
      </w:r>
      <w:r w:rsidRPr="00635D85">
        <w:rPr>
          <w:b/>
          <w:color w:val="687F39"/>
          <w:lang w:val="en-GB"/>
        </w:rPr>
        <w:t>INDUSTRIAL IMPACT:</w:t>
      </w:r>
    </w:p>
    <w:p w14:paraId="139EDD01" w14:textId="77777777" w:rsidR="00F47EBA" w:rsidRPr="00635D85" w:rsidRDefault="00F47EBA" w:rsidP="00F47EBA">
      <w:pPr>
        <w:contextualSpacing/>
        <w:jc w:val="both"/>
        <w:rPr>
          <w:color w:val="A5BA24"/>
          <w:lang w:val="en-GB"/>
        </w:rPr>
      </w:pPr>
      <w:r w:rsidRPr="00635D85">
        <w:rPr>
          <w:color w:val="A5BA24"/>
          <w:lang w:val="en-GB"/>
        </w:rPr>
        <w:t xml:space="preserve">Cost-Effectiveness </w:t>
      </w:r>
      <w:r w:rsidRPr="00635D85">
        <w:rPr>
          <w:color w:val="000000" w:themeColor="text1"/>
          <w:lang w:val="en-GB"/>
        </w:rPr>
        <w:t>A</w:t>
      </w:r>
      <w:r w:rsidRPr="00635D85">
        <w:rPr>
          <w:lang w:val="en-GB"/>
        </w:rPr>
        <w:t>dsorbent costs &lt; €5–10 per kg/ operational cycle</w:t>
      </w:r>
    </w:p>
    <w:p w14:paraId="509127A2" w14:textId="77777777" w:rsidR="00F47EBA" w:rsidRPr="00195967" w:rsidRDefault="00F47EBA" w:rsidP="00F47EBA">
      <w:pPr>
        <w:contextualSpacing/>
        <w:jc w:val="both"/>
        <w:rPr>
          <w:lang w:val="en-US"/>
        </w:rPr>
      </w:pPr>
      <w:r w:rsidRPr="6BD919C7">
        <w:rPr>
          <w:color w:val="A5BA24"/>
          <w:lang w:val="en-US"/>
        </w:rPr>
        <w:t>Energy Efficiency</w:t>
      </w:r>
      <w:r>
        <w:rPr>
          <w:color w:val="A5BA24"/>
          <w:lang w:val="en-US"/>
        </w:rPr>
        <w:t xml:space="preserve">  </w:t>
      </w:r>
      <w:r w:rsidRPr="6BD919C7">
        <w:rPr>
          <w:lang w:val="en-US"/>
        </w:rPr>
        <w:t>1–3 kWh per ton of polymer or oil feed, a negligible energy penalty compared to energy-intensive alternatives like hydrotreatment</w:t>
      </w:r>
    </w:p>
    <w:p w14:paraId="6BAA5B80" w14:textId="77777777" w:rsidR="00F47EBA" w:rsidRPr="00195967" w:rsidRDefault="00F47EBA" w:rsidP="00F47EBA">
      <w:pPr>
        <w:ind w:left="720"/>
        <w:contextualSpacing/>
        <w:jc w:val="both"/>
        <w:rPr>
          <w:lang w:val="en-US"/>
        </w:rPr>
      </w:pPr>
      <w:r w:rsidRPr="6BD919C7">
        <w:rPr>
          <w:color w:val="A5BA24"/>
          <w:lang w:val="en-US"/>
        </w:rPr>
        <w:t>Regulatory Compliance</w:t>
      </w:r>
      <w:r w:rsidRPr="6BD919C7">
        <w:rPr>
          <w:lang w:val="en-US"/>
        </w:rPr>
        <w:t xml:space="preserve"> purity levels of &lt;100 ppm for flame retardants, &lt;50 ppm for PFAS, ≤ 1000ppm for phthalates, &lt; 100 ppm Pb and Cd, &lt; 5 ppm chlorine and metals, meeting REACH and food-safety standards.</w:t>
      </w:r>
    </w:p>
    <w:p w14:paraId="01851BB0" w14:textId="77777777" w:rsidR="00F47EBA" w:rsidRPr="00195967" w:rsidRDefault="00F47EBA" w:rsidP="00F47EBA">
      <w:pPr>
        <w:ind w:left="720"/>
        <w:contextualSpacing/>
        <w:jc w:val="both"/>
        <w:rPr>
          <w:lang w:val="en-US"/>
        </w:rPr>
      </w:pPr>
      <w:r w:rsidRPr="6BD919C7">
        <w:rPr>
          <w:color w:val="A5BA24"/>
          <w:lang w:val="en-US"/>
        </w:rPr>
        <w:t xml:space="preserve">Environmental Impact </w:t>
      </w:r>
      <w:r w:rsidRPr="6BD919C7">
        <w:rPr>
          <w:lang w:val="en-US"/>
        </w:rPr>
        <w:t>Delivers CO₂ savings exceeding 40% per kg of recovered plastic by displacing virgin polymer production and avoiding incineration. In Flanders alone, this represents a potential reduction of 900 kt CO₂ per year</w:t>
      </w:r>
      <w:r>
        <w:rPr>
          <w:lang w:val="en-US"/>
        </w:rPr>
        <w:t>.</w:t>
      </w:r>
    </w:p>
    <w:p w14:paraId="6A83EED9" w14:textId="77777777" w:rsidR="00F47EBA" w:rsidRPr="00026FF2" w:rsidRDefault="00F47EBA" w:rsidP="00F47EBA">
      <w:pPr>
        <w:spacing w:line="278" w:lineRule="auto"/>
        <w:contextualSpacing/>
        <w:jc w:val="both"/>
        <w:rPr>
          <w:rFonts w:ascii="Arial" w:hAnsi="Arial" w:cs="Arial"/>
          <w:color w:val="000000"/>
          <w:sz w:val="20"/>
          <w:szCs w:val="20"/>
          <w:lang w:val="en-GB"/>
        </w:rPr>
      </w:pPr>
      <w:r w:rsidRPr="6BD919C7">
        <w:rPr>
          <w:b/>
          <w:bCs/>
          <w:color w:val="687F39"/>
          <w:lang w:val="en-US"/>
        </w:rPr>
        <w:t>CONTACT DETAILS</w:t>
      </w:r>
      <w:r>
        <w:rPr>
          <w:color w:val="687F39"/>
          <w:lang w:val="en-US"/>
        </w:rPr>
        <w:t xml:space="preserve">  </w:t>
      </w:r>
      <w:r w:rsidRPr="6BD919C7">
        <w:rPr>
          <w:lang w:val="en-US"/>
        </w:rPr>
        <w:t>The project combines leading expertise from Flemish research institutions: UGent (Prof. Steven De Meester, Prof. Richard Hoogenboom, Prof. Dagmar D’hooge); KU Leuven (Prof. Rob Ameloot)</w:t>
      </w:r>
      <w:r>
        <w:rPr>
          <w:lang w:val="en-US"/>
        </w:rPr>
        <w:t xml:space="preserve">,  </w:t>
      </w:r>
      <w:r w:rsidRPr="6BD919C7">
        <w:rPr>
          <w:lang w:val="en-US"/>
        </w:rPr>
        <w:t>and VITO (Prof. Fady Nahra and Dr. Kathy Elst).</w:t>
      </w:r>
    </w:p>
    <w:p w14:paraId="0F10A2E3" w14:textId="1F86AC7A" w:rsidR="00B24767" w:rsidRPr="00B02A98" w:rsidRDefault="00B24767" w:rsidP="00B24767">
      <w:pPr>
        <w:pStyle w:val="NoSpacing"/>
        <w:rPr>
          <w:smallCaps/>
          <w:lang w:val="en-US"/>
        </w:rPr>
      </w:pPr>
      <w:r>
        <w:rPr>
          <w:b/>
          <w:bCs/>
          <w:sz w:val="32"/>
          <w:szCs w:val="36"/>
          <w:lang w:eastAsia="en-GB"/>
        </w:rPr>
        <w:lastRenderedPageBreak/>
        <w:t xml:space="preserve">ISONEXT – </w:t>
      </w:r>
      <w:r>
        <w:rPr>
          <w:b/>
          <w:bCs/>
          <w:smallCaps/>
          <w:sz w:val="32"/>
          <w:szCs w:val="36"/>
          <w:lang w:eastAsia="en-GB"/>
        </w:rPr>
        <w:t>Next-Generation Circular Pathways to Recycled Isocyanates via Reactor Innovation</w:t>
      </w:r>
    </w:p>
    <w:p w14:paraId="669A5E16" w14:textId="77777777" w:rsidR="00B24767" w:rsidRDefault="00B24767" w:rsidP="00B24767">
      <w:pPr>
        <w:spacing w:line="260" w:lineRule="atLeast"/>
        <w:jc w:val="both"/>
        <w:rPr>
          <w:rFonts w:ascii="Arial" w:hAnsi="Arial" w:cs="Arial"/>
          <w:color w:val="000000"/>
          <w:sz w:val="20"/>
          <w:szCs w:val="20"/>
          <w:lang w:val="en-US"/>
        </w:rPr>
      </w:pPr>
      <w:r>
        <w:rPr>
          <w:rFonts w:ascii="Arial" w:hAnsi="Arial" w:cs="Arial"/>
          <w:b/>
          <w:bCs/>
          <w:i/>
          <w:iCs/>
          <w:color w:val="000000"/>
          <w:sz w:val="20"/>
          <w:szCs w:val="20"/>
          <w:u w:val="single"/>
          <w:lang w:val="en-US"/>
        </w:rPr>
        <w:t>Context and problem statement</w:t>
      </w:r>
      <w:r w:rsidRPr="009A5C4A">
        <w:rPr>
          <w:rFonts w:ascii="Arial" w:hAnsi="Arial" w:cs="Arial"/>
          <w:b/>
          <w:bCs/>
          <w:i/>
          <w:iCs/>
          <w:color w:val="000000"/>
          <w:sz w:val="20"/>
          <w:szCs w:val="20"/>
          <w:u w:val="single"/>
          <w:lang w:val="en-US"/>
        </w:rPr>
        <w:t>:</w:t>
      </w:r>
      <w:r>
        <w:rPr>
          <w:rFonts w:ascii="Arial" w:hAnsi="Arial" w:cs="Arial"/>
          <w:color w:val="000000"/>
          <w:sz w:val="20"/>
          <w:szCs w:val="20"/>
          <w:lang w:val="en-US"/>
        </w:rPr>
        <w:t xml:space="preserve"> </w:t>
      </w:r>
      <w:r w:rsidRPr="00D22C3E">
        <w:rPr>
          <w:rFonts w:ascii="Arial" w:hAnsi="Arial" w:cs="Arial"/>
          <w:color w:val="000000"/>
          <w:sz w:val="20"/>
          <w:szCs w:val="20"/>
          <w:lang w:val="en-US"/>
        </w:rPr>
        <w:t>Polyurethanes represent a &gt;</w:t>
      </w:r>
      <w:r>
        <w:rPr>
          <w:rFonts w:ascii="Arial" w:hAnsi="Arial" w:cs="Arial"/>
          <w:color w:val="000000"/>
          <w:sz w:val="20"/>
          <w:szCs w:val="20"/>
          <w:lang w:val="en-US"/>
        </w:rPr>
        <w:t>2.5</w:t>
      </w:r>
      <w:r w:rsidRPr="00D22C3E">
        <w:rPr>
          <w:rFonts w:ascii="Arial" w:hAnsi="Arial" w:cs="Arial"/>
          <w:color w:val="000000"/>
          <w:sz w:val="20"/>
          <w:szCs w:val="20"/>
          <w:lang w:val="en-US"/>
        </w:rPr>
        <w:t xml:space="preserve"> million tonnes European market, with a strong value chain presence in Flanders in terms of chemical production, system houses, and finished goods. The characteristics of most products require chemical recycling, i.e. depolymerization, for full circularity. Although a lot of research is </w:t>
      </w:r>
      <w:r>
        <w:rPr>
          <w:rFonts w:ascii="Arial" w:hAnsi="Arial" w:cs="Arial"/>
          <w:color w:val="000000"/>
          <w:sz w:val="20"/>
          <w:szCs w:val="20"/>
          <w:lang w:val="en-US"/>
        </w:rPr>
        <w:t xml:space="preserve">(being) </w:t>
      </w:r>
      <w:r w:rsidRPr="00D22C3E">
        <w:rPr>
          <w:rFonts w:ascii="Arial" w:hAnsi="Arial" w:cs="Arial"/>
          <w:color w:val="000000"/>
          <w:sz w:val="20"/>
          <w:szCs w:val="20"/>
          <w:lang w:val="en-US"/>
        </w:rPr>
        <w:t xml:space="preserve">conducted to recover high-quality polyols, the fate of aromatic isocyanate derivatives (often obtained as amines) is uncertain. Restricting to only a drop-in phosgenation route for obtained aromatic amines puts all chemical recycling eggs into a very narrow basket, with only two manufacturers remaining for TDI and five </w:t>
      </w:r>
      <w:r>
        <w:rPr>
          <w:rFonts w:ascii="Arial" w:hAnsi="Arial" w:cs="Arial"/>
          <w:color w:val="000000"/>
          <w:sz w:val="20"/>
          <w:szCs w:val="20"/>
          <w:lang w:val="en-US"/>
        </w:rPr>
        <w:t xml:space="preserve">(but shifting) </w:t>
      </w:r>
      <w:r w:rsidRPr="00D22C3E">
        <w:rPr>
          <w:rFonts w:ascii="Arial" w:hAnsi="Arial" w:cs="Arial"/>
          <w:color w:val="000000"/>
          <w:sz w:val="20"/>
          <w:szCs w:val="20"/>
          <w:lang w:val="en-US"/>
        </w:rPr>
        <w:t>remaining for MDI</w:t>
      </w:r>
      <w:r>
        <w:rPr>
          <w:rFonts w:ascii="Arial" w:hAnsi="Arial" w:cs="Arial"/>
          <w:color w:val="000000"/>
          <w:sz w:val="20"/>
          <w:szCs w:val="20"/>
          <w:lang w:val="en-US"/>
        </w:rPr>
        <w:t xml:space="preserve"> in Europe</w:t>
      </w:r>
      <w:r w:rsidRPr="00D22C3E">
        <w:rPr>
          <w:rFonts w:ascii="Arial" w:hAnsi="Arial" w:cs="Arial"/>
          <w:color w:val="000000"/>
          <w:sz w:val="20"/>
          <w:szCs w:val="20"/>
          <w:lang w:val="en-US"/>
        </w:rPr>
        <w:t>. Given the pressure on the European market, alternative routes to directly valorize these aromatic resins could de-risk the growth of chemical recycling. Furthermore, currently no recycled isocyanates exist on the market, other than through first mass balancing concepts.</w:t>
      </w:r>
      <w:r>
        <w:rPr>
          <w:rFonts w:ascii="Arial" w:hAnsi="Arial" w:cs="Arial"/>
          <w:color w:val="000000"/>
          <w:sz w:val="20"/>
          <w:szCs w:val="20"/>
          <w:lang w:val="en-US"/>
        </w:rPr>
        <w:t xml:space="preserve"> Therefore, combining the Flemish efforts in pioneering depolymerization pathways with a new route to generate recycled TDI and MDI, independent of phosgenation units, could secure our position within the polyurethanes value chains. </w:t>
      </w:r>
    </w:p>
    <w:p w14:paraId="4B18709F" w14:textId="77777777" w:rsidR="00B24767" w:rsidRDefault="00B24767" w:rsidP="00B24767">
      <w:pPr>
        <w:spacing w:line="260" w:lineRule="atLeast"/>
        <w:jc w:val="both"/>
        <w:rPr>
          <w:rFonts w:ascii="Arial" w:hAnsi="Arial" w:cs="Arial"/>
          <w:color w:val="000000"/>
          <w:sz w:val="20"/>
          <w:szCs w:val="20"/>
          <w:lang w:val="en-US"/>
        </w:rPr>
      </w:pPr>
      <w:r>
        <w:rPr>
          <w:rFonts w:ascii="Arial" w:hAnsi="Arial" w:cs="Arial"/>
          <w:b/>
          <w:bCs/>
          <w:i/>
          <w:iCs/>
          <w:color w:val="000000"/>
          <w:sz w:val="20"/>
          <w:szCs w:val="20"/>
          <w:u w:val="single"/>
          <w:lang w:val="en-US"/>
        </w:rPr>
        <w:t>Idea</w:t>
      </w:r>
      <w:r w:rsidRPr="006076A0">
        <w:rPr>
          <w:rFonts w:ascii="Arial" w:hAnsi="Arial" w:cs="Arial"/>
          <w:b/>
          <w:bCs/>
          <w:i/>
          <w:iCs/>
          <w:color w:val="000000"/>
          <w:sz w:val="20"/>
          <w:szCs w:val="20"/>
          <w:lang w:val="en-US"/>
        </w:rPr>
        <w:t xml:space="preserve">: </w:t>
      </w:r>
      <w:r>
        <w:rPr>
          <w:rFonts w:ascii="Arial" w:hAnsi="Arial" w:cs="Arial"/>
          <w:color w:val="000000"/>
          <w:sz w:val="20"/>
          <w:szCs w:val="20"/>
          <w:lang w:val="en-US"/>
        </w:rPr>
        <w:t xml:space="preserve">This project develops a direct route to isocyanates through a thermolysis pathway. More specifically, after recovery of polyols through an alcoholysis approach, the aromatic fraction will be upgraded to monomeric dicarbamates (or polycarbamates) that are fed into a newly designed thermolysis reactor to be converted into isocyanates while recovering the alcohol. </w:t>
      </w:r>
      <w:r w:rsidRPr="00BC7362">
        <w:rPr>
          <w:rFonts w:ascii="Arial" w:hAnsi="Arial" w:cs="Arial"/>
          <w:color w:val="000000"/>
          <w:sz w:val="20"/>
          <w:szCs w:val="20"/>
          <w:lang w:val="en-US"/>
        </w:rPr>
        <w:t>The idea builds on a patented two-stage recycling strategy (WO2023285545A1), with the patent specifically covering the carbamate intermediate route to recovered TDI and (p)MDI, ensuring that the core invention is protected and available for industrial valorization</w:t>
      </w:r>
      <w:r>
        <w:rPr>
          <w:rFonts w:ascii="Arial" w:hAnsi="Arial" w:cs="Arial"/>
          <w:color w:val="000000"/>
          <w:sz w:val="20"/>
          <w:szCs w:val="20"/>
          <w:lang w:val="en-US"/>
        </w:rPr>
        <w:t xml:space="preserve">. From these initial results, it appears that a new reactor system can be designed that balances yield and separation efficacy with </w:t>
      </w:r>
      <w:r w:rsidRPr="00BC7362">
        <w:rPr>
          <w:rFonts w:ascii="Arial" w:hAnsi="Arial" w:cs="Arial"/>
          <w:color w:val="000000"/>
          <w:sz w:val="20"/>
          <w:szCs w:val="20"/>
          <w:lang w:val="en-US"/>
        </w:rPr>
        <w:t>competitive process economics driven by low operating temperatures and short residence times</w:t>
      </w:r>
      <w:r>
        <w:rPr>
          <w:rFonts w:ascii="Arial" w:hAnsi="Arial" w:cs="Arial"/>
          <w:color w:val="000000"/>
          <w:sz w:val="20"/>
          <w:szCs w:val="20"/>
          <w:lang w:val="en-US"/>
        </w:rPr>
        <w:t xml:space="preserve">. </w:t>
      </w:r>
    </w:p>
    <w:p w14:paraId="03A55C8E" w14:textId="77777777" w:rsidR="00B24767" w:rsidRPr="00BC7362" w:rsidRDefault="00B24767" w:rsidP="00B24767">
      <w:pPr>
        <w:spacing w:after="0" w:line="260" w:lineRule="atLeast"/>
        <w:jc w:val="both"/>
        <w:rPr>
          <w:rFonts w:ascii="Arial" w:hAnsi="Arial" w:cs="Arial"/>
          <w:color w:val="000000"/>
          <w:sz w:val="20"/>
          <w:szCs w:val="20"/>
          <w:lang w:val="en-US"/>
        </w:rPr>
      </w:pPr>
      <w:r>
        <w:rPr>
          <w:rFonts w:ascii="Arial" w:hAnsi="Arial" w:cs="Arial"/>
          <w:b/>
          <w:bCs/>
          <w:i/>
          <w:iCs/>
          <w:color w:val="000000"/>
          <w:sz w:val="20"/>
          <w:szCs w:val="20"/>
          <w:u w:val="single"/>
          <w:lang w:val="en-US"/>
        </w:rPr>
        <w:t>Approach</w:t>
      </w:r>
      <w:r w:rsidRPr="006076A0">
        <w:rPr>
          <w:rFonts w:ascii="Arial" w:hAnsi="Arial" w:cs="Arial"/>
          <w:b/>
          <w:bCs/>
          <w:i/>
          <w:iCs/>
          <w:color w:val="000000"/>
          <w:sz w:val="20"/>
          <w:szCs w:val="20"/>
          <w:lang w:val="en-US"/>
        </w:rPr>
        <w:t>:</w:t>
      </w:r>
      <w:r>
        <w:rPr>
          <w:rFonts w:ascii="Arial" w:hAnsi="Arial" w:cs="Arial"/>
          <w:b/>
          <w:bCs/>
          <w:i/>
          <w:iCs/>
          <w:color w:val="000000"/>
          <w:sz w:val="20"/>
          <w:szCs w:val="20"/>
          <w:lang w:val="en-US"/>
        </w:rPr>
        <w:t xml:space="preserve"> </w:t>
      </w:r>
      <w:r w:rsidRPr="008E7452">
        <w:rPr>
          <w:rFonts w:ascii="Arial" w:hAnsi="Arial" w:cs="Arial"/>
          <w:color w:val="000000"/>
          <w:sz w:val="20"/>
          <w:szCs w:val="20"/>
          <w:lang w:val="en-US"/>
        </w:rPr>
        <w:t xml:space="preserve">ISONEXT takes a reactor engineering perspective on a </w:t>
      </w:r>
      <w:r w:rsidRPr="00BC7362">
        <w:rPr>
          <w:rFonts w:ascii="Arial" w:hAnsi="Arial" w:cs="Arial"/>
          <w:color w:val="000000"/>
          <w:sz w:val="20"/>
          <w:szCs w:val="20"/>
          <w:lang w:val="en-US"/>
        </w:rPr>
        <w:t>chemically validated but process-wise unexplored concept</w:t>
      </w:r>
      <w:r w:rsidRPr="008E7452">
        <w:rPr>
          <w:rFonts w:ascii="Arial" w:hAnsi="Arial" w:cs="Arial"/>
          <w:color w:val="000000"/>
          <w:sz w:val="20"/>
          <w:szCs w:val="20"/>
          <w:lang w:val="en-US"/>
        </w:rPr>
        <w:t>: carbamate thermolysis. By immediately stripping the liberated alcohol as it forms</w:t>
      </w:r>
      <w:r>
        <w:rPr>
          <w:rFonts w:ascii="Arial" w:hAnsi="Arial" w:cs="Arial"/>
          <w:color w:val="000000"/>
          <w:sz w:val="20"/>
          <w:szCs w:val="20"/>
          <w:lang w:val="en-US"/>
        </w:rPr>
        <w:t xml:space="preserve"> to </w:t>
      </w:r>
      <w:r w:rsidRPr="008E7452">
        <w:rPr>
          <w:rFonts w:ascii="Arial" w:hAnsi="Arial" w:cs="Arial"/>
          <w:color w:val="000000"/>
          <w:sz w:val="20"/>
          <w:szCs w:val="20"/>
          <w:lang w:val="en-US"/>
        </w:rPr>
        <w:t>shift the equilibrium and</w:t>
      </w:r>
      <w:r>
        <w:rPr>
          <w:rFonts w:ascii="Arial" w:hAnsi="Arial" w:cs="Arial"/>
          <w:color w:val="000000"/>
          <w:sz w:val="20"/>
          <w:szCs w:val="20"/>
          <w:lang w:val="en-US"/>
        </w:rPr>
        <w:t xml:space="preserve"> by keeping the residence time low to</w:t>
      </w:r>
      <w:r w:rsidRPr="008E7452">
        <w:rPr>
          <w:rFonts w:ascii="Arial" w:hAnsi="Arial" w:cs="Arial"/>
          <w:color w:val="000000"/>
          <w:sz w:val="20"/>
          <w:szCs w:val="20"/>
          <w:lang w:val="en-US"/>
        </w:rPr>
        <w:t xml:space="preserve"> suppress side reactions such as carbodiimide formation</w:t>
      </w:r>
      <w:r>
        <w:rPr>
          <w:rFonts w:ascii="Arial" w:hAnsi="Arial" w:cs="Arial"/>
          <w:color w:val="000000"/>
          <w:sz w:val="20"/>
          <w:szCs w:val="20"/>
          <w:lang w:val="en-US"/>
        </w:rPr>
        <w:t xml:space="preserve"> – </w:t>
      </w:r>
      <w:r w:rsidRPr="008E7452">
        <w:rPr>
          <w:rFonts w:ascii="Arial" w:hAnsi="Arial" w:cs="Arial"/>
          <w:color w:val="000000"/>
          <w:sz w:val="20"/>
          <w:szCs w:val="20"/>
          <w:lang w:val="en-US"/>
        </w:rPr>
        <w:t xml:space="preserve">a newly designed semi-continuous reactor-separator targets TDI and </w:t>
      </w:r>
      <w:r>
        <w:rPr>
          <w:rFonts w:ascii="Arial" w:hAnsi="Arial" w:cs="Arial"/>
          <w:color w:val="000000"/>
          <w:sz w:val="20"/>
          <w:szCs w:val="20"/>
          <w:lang w:val="en-US"/>
        </w:rPr>
        <w:t>(p)</w:t>
      </w:r>
      <w:r w:rsidRPr="008E7452">
        <w:rPr>
          <w:rFonts w:ascii="Arial" w:hAnsi="Arial" w:cs="Arial"/>
          <w:color w:val="000000"/>
          <w:sz w:val="20"/>
          <w:szCs w:val="20"/>
          <w:lang w:val="en-US"/>
        </w:rPr>
        <w:t xml:space="preserve">MDI yields above 80% at purities above 90%, with residence times below 5 minutes. The project </w:t>
      </w:r>
      <w:r>
        <w:rPr>
          <w:rFonts w:ascii="Arial" w:hAnsi="Arial" w:cs="Arial"/>
          <w:color w:val="000000"/>
          <w:sz w:val="20"/>
          <w:szCs w:val="20"/>
          <w:lang w:val="en-US"/>
        </w:rPr>
        <w:t xml:space="preserve">targets a green and digital twin for economic and ecological optimization of reactive distillation, by </w:t>
      </w:r>
      <w:r w:rsidRPr="008E7452">
        <w:rPr>
          <w:rFonts w:ascii="Arial" w:hAnsi="Arial" w:cs="Arial"/>
          <w:color w:val="000000"/>
          <w:sz w:val="20"/>
          <w:szCs w:val="20"/>
          <w:lang w:val="en-US"/>
        </w:rPr>
        <w:t>combin</w:t>
      </w:r>
      <w:r>
        <w:rPr>
          <w:rFonts w:ascii="Arial" w:hAnsi="Arial" w:cs="Arial"/>
          <w:color w:val="000000"/>
          <w:sz w:val="20"/>
          <w:szCs w:val="20"/>
          <w:lang w:val="en-US"/>
        </w:rPr>
        <w:t>ing</w:t>
      </w:r>
      <w:r w:rsidRPr="008E7452">
        <w:rPr>
          <w:rFonts w:ascii="Arial" w:hAnsi="Arial" w:cs="Arial"/>
          <w:color w:val="000000"/>
          <w:sz w:val="20"/>
          <w:szCs w:val="20"/>
          <w:lang w:val="en-US"/>
        </w:rPr>
        <w:t xml:space="preserve"> a complete kinetic mapping of the carbamate thermolysis reaction network, thermodynamic modelling of isocyanate</w:t>
      </w:r>
      <w:r>
        <w:rPr>
          <w:rFonts w:ascii="Arial" w:hAnsi="Arial" w:cs="Arial"/>
          <w:color w:val="000000"/>
          <w:sz w:val="20"/>
          <w:szCs w:val="20"/>
          <w:lang w:val="en-US"/>
        </w:rPr>
        <w:t>-</w:t>
      </w:r>
      <w:r w:rsidRPr="008E7452">
        <w:rPr>
          <w:rFonts w:ascii="Arial" w:hAnsi="Arial" w:cs="Arial"/>
          <w:color w:val="000000"/>
          <w:sz w:val="20"/>
          <w:szCs w:val="20"/>
          <w:lang w:val="en-US"/>
        </w:rPr>
        <w:t xml:space="preserve">alcohol separation, validated across lab, pilot and industrial scales, and a physical 100 mL semi-continuous demonstrator tested on real industrial flex </w:t>
      </w:r>
      <w:r>
        <w:rPr>
          <w:rFonts w:ascii="Arial" w:hAnsi="Arial" w:cs="Arial"/>
          <w:color w:val="000000"/>
          <w:sz w:val="20"/>
          <w:szCs w:val="20"/>
          <w:lang w:val="en-US"/>
        </w:rPr>
        <w:t xml:space="preserve">and rigid </w:t>
      </w:r>
      <w:r w:rsidRPr="008E7452">
        <w:rPr>
          <w:rFonts w:ascii="Arial" w:hAnsi="Arial" w:cs="Arial"/>
          <w:color w:val="000000"/>
          <w:sz w:val="20"/>
          <w:szCs w:val="20"/>
          <w:lang w:val="en-US"/>
        </w:rPr>
        <w:t xml:space="preserve">foam streams. </w:t>
      </w:r>
      <w:r>
        <w:rPr>
          <w:rFonts w:ascii="Arial" w:hAnsi="Arial" w:cs="Arial"/>
          <w:color w:val="000000"/>
          <w:sz w:val="20"/>
          <w:szCs w:val="20"/>
          <w:lang w:val="en-US"/>
        </w:rPr>
        <w:t xml:space="preserve">This will deliver g-scale samples of recovered TDI and (p)MDI, to be fully characterized and tested in foam formulations. </w:t>
      </w:r>
      <w:r w:rsidRPr="008E7452">
        <w:rPr>
          <w:rFonts w:ascii="Arial" w:hAnsi="Arial" w:cs="Arial"/>
          <w:color w:val="000000"/>
          <w:sz w:val="20"/>
          <w:szCs w:val="20"/>
          <w:lang w:val="en-US"/>
        </w:rPr>
        <w:t>A life cycle and techno-economic assessment will quantify the anticipated CO</w:t>
      </w:r>
      <w:r w:rsidRPr="008E7452">
        <w:rPr>
          <w:rFonts w:ascii="Cambria Math" w:hAnsi="Cambria Math" w:cs="Cambria Math"/>
          <w:color w:val="000000"/>
          <w:sz w:val="20"/>
          <w:szCs w:val="20"/>
          <w:lang w:val="en-US"/>
        </w:rPr>
        <w:t>₂</w:t>
      </w:r>
      <w:r w:rsidRPr="008E7452">
        <w:rPr>
          <w:rFonts w:ascii="Arial" w:hAnsi="Arial" w:cs="Arial"/>
          <w:color w:val="000000"/>
          <w:sz w:val="20"/>
          <w:szCs w:val="20"/>
          <w:lang w:val="en-US"/>
        </w:rPr>
        <w:t xml:space="preserve"> savings of 2</w:t>
      </w:r>
      <w:r>
        <w:rPr>
          <w:rFonts w:ascii="Arial" w:hAnsi="Arial" w:cs="Arial"/>
          <w:color w:val="000000"/>
          <w:sz w:val="20"/>
          <w:szCs w:val="20"/>
          <w:lang w:val="en-US"/>
        </w:rPr>
        <w:t>-</w:t>
      </w:r>
      <w:r w:rsidRPr="008E7452">
        <w:rPr>
          <w:rFonts w:ascii="Arial" w:hAnsi="Arial" w:cs="Arial"/>
          <w:color w:val="000000"/>
          <w:sz w:val="20"/>
          <w:szCs w:val="20"/>
          <w:lang w:val="en-US"/>
        </w:rPr>
        <w:t>3.5 tonnes CO</w:t>
      </w:r>
      <w:r w:rsidRPr="008E7452">
        <w:rPr>
          <w:rFonts w:ascii="Cambria Math" w:hAnsi="Cambria Math" w:cs="Cambria Math"/>
          <w:color w:val="000000"/>
          <w:sz w:val="20"/>
          <w:szCs w:val="20"/>
          <w:lang w:val="en-US"/>
        </w:rPr>
        <w:t>₂</w:t>
      </w:r>
      <w:r w:rsidRPr="008E7452">
        <w:rPr>
          <w:rFonts w:ascii="Arial" w:hAnsi="Arial" w:cs="Arial"/>
          <w:color w:val="000000"/>
          <w:sz w:val="20"/>
          <w:szCs w:val="20"/>
          <w:lang w:val="en-US"/>
        </w:rPr>
        <w:t>e per tonne of isocyanate relative to conventional phosgene</w:t>
      </w:r>
      <w:r>
        <w:rPr>
          <w:rFonts w:ascii="Arial" w:hAnsi="Arial" w:cs="Arial"/>
          <w:color w:val="000000"/>
          <w:sz w:val="20"/>
          <w:szCs w:val="20"/>
          <w:lang w:val="en-US"/>
        </w:rPr>
        <w:t>-</w:t>
      </w:r>
      <w:r w:rsidRPr="008E7452">
        <w:rPr>
          <w:rFonts w:ascii="Arial" w:hAnsi="Arial" w:cs="Arial"/>
          <w:color w:val="000000"/>
          <w:sz w:val="20"/>
          <w:szCs w:val="20"/>
          <w:lang w:val="en-US"/>
        </w:rPr>
        <w:t>based production</w:t>
      </w:r>
      <w:r>
        <w:rPr>
          <w:rFonts w:ascii="Arial" w:hAnsi="Arial" w:cs="Arial"/>
          <w:color w:val="000000"/>
          <w:sz w:val="20"/>
          <w:szCs w:val="20"/>
          <w:lang w:val="en-US"/>
        </w:rPr>
        <w:t xml:space="preserve">, </w:t>
      </w:r>
      <w:r w:rsidRPr="00BC7362">
        <w:rPr>
          <w:rFonts w:ascii="Arial" w:hAnsi="Arial" w:cs="Arial"/>
          <w:color w:val="000000"/>
          <w:sz w:val="20"/>
          <w:szCs w:val="20"/>
          <w:lang w:val="en-US"/>
        </w:rPr>
        <w:t>based on preliminary energy balance estimates</w:t>
      </w:r>
      <w:r w:rsidRPr="008E7452">
        <w:rPr>
          <w:rFonts w:ascii="Arial" w:hAnsi="Arial" w:cs="Arial"/>
          <w:color w:val="000000"/>
          <w:sz w:val="20"/>
          <w:szCs w:val="20"/>
          <w:lang w:val="en-US"/>
        </w:rPr>
        <w:t xml:space="preserve">. </w:t>
      </w:r>
      <w:r w:rsidRPr="00CA3BF7">
        <w:rPr>
          <w:rFonts w:ascii="Arial" w:hAnsi="Arial" w:cs="Arial"/>
          <w:color w:val="000000"/>
          <w:sz w:val="20"/>
          <w:szCs w:val="20"/>
          <w:lang w:val="en-US"/>
        </w:rPr>
        <w:t>The project targets TRL 3-4 and is designed as the missing isocyanate recovery unit in the emerging Flemish circular polyurethane ecosystem</w:t>
      </w:r>
      <w:r>
        <w:rPr>
          <w:rFonts w:ascii="Arial" w:hAnsi="Arial" w:cs="Arial"/>
          <w:color w:val="000000"/>
          <w:sz w:val="20"/>
          <w:szCs w:val="20"/>
          <w:lang w:val="en-US"/>
        </w:rPr>
        <w:t xml:space="preserve">, </w:t>
      </w:r>
      <w:r w:rsidRPr="00CA3BF7">
        <w:rPr>
          <w:rFonts w:ascii="Arial" w:hAnsi="Arial" w:cs="Arial"/>
          <w:color w:val="000000"/>
          <w:sz w:val="20"/>
          <w:szCs w:val="20"/>
          <w:lang w:val="en-US"/>
        </w:rPr>
        <w:t>directly complementing ongoing depolymerization pilot initiatives that already address polyol recovery, and together closing the full material loop from end-of-life foam to both recovered polyols and recovered isocyanates.</w:t>
      </w:r>
      <w:r>
        <w:rPr>
          <w:rFonts w:ascii="Arial" w:hAnsi="Arial" w:cs="Arial"/>
          <w:color w:val="000000"/>
          <w:sz w:val="20"/>
          <w:szCs w:val="20"/>
          <w:lang w:val="en-US"/>
        </w:rPr>
        <w:t xml:space="preserve"> </w:t>
      </w:r>
      <w:r w:rsidRPr="00BC7362">
        <w:rPr>
          <w:rFonts w:ascii="Arial" w:hAnsi="Arial" w:cs="Arial"/>
          <w:color w:val="000000"/>
          <w:sz w:val="20"/>
          <w:szCs w:val="20"/>
          <w:lang w:val="en-US"/>
        </w:rPr>
        <w:t>Given the focused scope and 2-year timeline, ISONEXT offers industrial partners an efficient, low-commitment entry point to a technology that could fundamentally change the economics of polyurethane chemical recycling.</w:t>
      </w:r>
    </w:p>
    <w:p w14:paraId="79DC706D" w14:textId="77777777" w:rsidR="00B24767" w:rsidRDefault="00B24767" w:rsidP="00B24767">
      <w:pPr>
        <w:spacing w:after="0" w:line="260" w:lineRule="atLeast"/>
        <w:jc w:val="both"/>
        <w:rPr>
          <w:rFonts w:ascii="Arial" w:hAnsi="Arial" w:cs="Arial"/>
          <w:b/>
          <w:bCs/>
          <w:i/>
          <w:iCs/>
          <w:color w:val="000000"/>
          <w:sz w:val="20"/>
          <w:szCs w:val="20"/>
          <w:u w:val="single"/>
          <w:lang w:val="en-US"/>
        </w:rPr>
      </w:pPr>
    </w:p>
    <w:p w14:paraId="18D1F252" w14:textId="77777777" w:rsidR="00B24767" w:rsidRPr="00874CAE" w:rsidRDefault="00B24767" w:rsidP="00B24767">
      <w:pPr>
        <w:spacing w:after="0" w:line="260" w:lineRule="atLeast"/>
        <w:jc w:val="both"/>
        <w:rPr>
          <w:rFonts w:ascii="Arial" w:hAnsi="Arial" w:cs="Arial"/>
          <w:color w:val="000000"/>
          <w:sz w:val="20"/>
          <w:szCs w:val="20"/>
          <w:lang w:val="en-US"/>
        </w:rPr>
      </w:pPr>
      <w:r w:rsidRPr="00874CAE">
        <w:rPr>
          <w:rFonts w:ascii="Arial" w:hAnsi="Arial" w:cs="Arial"/>
          <w:b/>
          <w:bCs/>
          <w:i/>
          <w:iCs/>
          <w:color w:val="000000"/>
          <w:sz w:val="20"/>
          <w:szCs w:val="20"/>
          <w:u w:val="single"/>
          <w:lang w:val="en-US"/>
        </w:rPr>
        <w:t>Contact details</w:t>
      </w:r>
      <w:r w:rsidRPr="00874CAE">
        <w:rPr>
          <w:rFonts w:ascii="Arial" w:hAnsi="Arial" w:cs="Arial"/>
          <w:color w:val="000000"/>
          <w:sz w:val="20"/>
          <w:szCs w:val="20"/>
          <w:lang w:val="en-US"/>
        </w:rPr>
        <w:t>: Pieter Billen (co</w:t>
      </w:r>
      <w:r>
        <w:rPr>
          <w:rFonts w:ascii="Arial" w:hAnsi="Arial" w:cs="Arial"/>
          <w:color w:val="000000"/>
          <w:sz w:val="20"/>
          <w:szCs w:val="20"/>
          <w:lang w:val="en-US"/>
        </w:rPr>
        <w:t xml:space="preserve">ordinator, </w:t>
      </w:r>
      <w:r w:rsidRPr="00874CAE">
        <w:rPr>
          <w:rFonts w:ascii="Arial" w:hAnsi="Arial" w:cs="Arial"/>
          <w:color w:val="000000"/>
          <w:sz w:val="20"/>
          <w:szCs w:val="20"/>
          <w:lang w:val="en-US"/>
        </w:rPr>
        <w:t xml:space="preserve">University of Antwerp, </w:t>
      </w:r>
      <w:hyperlink r:id="rId15" w:history="1">
        <w:r w:rsidRPr="00874CAE">
          <w:rPr>
            <w:rStyle w:val="Hyperlink"/>
            <w:rFonts w:ascii="Arial" w:hAnsi="Arial" w:cs="Arial"/>
            <w:sz w:val="20"/>
            <w:szCs w:val="20"/>
            <w:lang w:val="en-US"/>
          </w:rPr>
          <w:t>pieter.billen@uantwerpen.be</w:t>
        </w:r>
      </w:hyperlink>
      <w:r w:rsidRPr="00874CAE">
        <w:rPr>
          <w:rFonts w:ascii="Arial" w:hAnsi="Arial" w:cs="Arial"/>
          <w:color w:val="000000"/>
          <w:sz w:val="20"/>
          <w:szCs w:val="20"/>
          <w:lang w:val="en-US"/>
        </w:rPr>
        <w:t xml:space="preserve">), Christophe Vande Velde (University of Antwerp, </w:t>
      </w:r>
      <w:hyperlink r:id="rId16" w:history="1">
        <w:r w:rsidRPr="00874CAE">
          <w:rPr>
            <w:rStyle w:val="Hyperlink"/>
            <w:rFonts w:ascii="Arial" w:hAnsi="Arial" w:cs="Arial"/>
            <w:sz w:val="20"/>
            <w:szCs w:val="20"/>
            <w:lang w:val="en-US"/>
          </w:rPr>
          <w:t>christophe.vandevelde@uantwerpen.be</w:t>
        </w:r>
      </w:hyperlink>
      <w:r w:rsidRPr="00874CAE">
        <w:rPr>
          <w:rFonts w:ascii="Arial" w:hAnsi="Arial" w:cs="Arial"/>
          <w:color w:val="000000"/>
          <w:sz w:val="20"/>
          <w:szCs w:val="20"/>
          <w:lang w:val="en-US"/>
        </w:rPr>
        <w:t xml:space="preserve">), Yoshi Marien (University of Antwerp, </w:t>
      </w:r>
      <w:hyperlink r:id="rId17" w:history="1">
        <w:r w:rsidRPr="00874CAE">
          <w:rPr>
            <w:rStyle w:val="Hyperlink"/>
            <w:rFonts w:ascii="Arial" w:hAnsi="Arial" w:cs="Arial"/>
            <w:sz w:val="20"/>
            <w:szCs w:val="20"/>
            <w:lang w:val="en-US"/>
          </w:rPr>
          <w:t>yoshi.marien@uantwerpen.be</w:t>
        </w:r>
      </w:hyperlink>
      <w:r w:rsidRPr="00874CAE">
        <w:rPr>
          <w:rFonts w:ascii="Arial" w:hAnsi="Arial" w:cs="Arial"/>
          <w:color w:val="000000"/>
          <w:sz w:val="20"/>
          <w:szCs w:val="20"/>
          <w:lang w:val="en-US"/>
        </w:rPr>
        <w:t xml:space="preserve">), Yi Ouyang (Ghent University, </w:t>
      </w:r>
      <w:hyperlink r:id="rId18" w:history="1">
        <w:r w:rsidRPr="00874CAE">
          <w:rPr>
            <w:rStyle w:val="Hyperlink"/>
            <w:rFonts w:ascii="Arial" w:hAnsi="Arial" w:cs="Arial"/>
            <w:sz w:val="20"/>
            <w:szCs w:val="20"/>
            <w:lang w:val="en-US"/>
          </w:rPr>
          <w:t>yi.ouyang@ugent.be</w:t>
        </w:r>
      </w:hyperlink>
      <w:r w:rsidRPr="00874CAE">
        <w:rPr>
          <w:rFonts w:ascii="Arial" w:hAnsi="Arial" w:cs="Arial"/>
          <w:color w:val="000000"/>
          <w:sz w:val="20"/>
          <w:szCs w:val="20"/>
          <w:lang w:val="en-US"/>
        </w:rPr>
        <w:t xml:space="preserve">), Joost Brancart (VUB, </w:t>
      </w:r>
      <w:hyperlink r:id="rId19" w:history="1">
        <w:r w:rsidRPr="00874CAE">
          <w:rPr>
            <w:rStyle w:val="Hyperlink"/>
            <w:rFonts w:ascii="Arial" w:hAnsi="Arial" w:cs="Arial"/>
            <w:sz w:val="20"/>
            <w:szCs w:val="20"/>
            <w:lang w:val="en-US"/>
          </w:rPr>
          <w:t>joost.brancart@vub.be</w:t>
        </w:r>
      </w:hyperlink>
      <w:r w:rsidRPr="00874CAE">
        <w:rPr>
          <w:rFonts w:ascii="Arial" w:hAnsi="Arial" w:cs="Arial"/>
          <w:color w:val="000000"/>
          <w:sz w:val="20"/>
          <w:szCs w:val="20"/>
          <w:lang w:val="en-US"/>
        </w:rPr>
        <w:t xml:space="preserve">), Guy Van Assche (VUB, </w:t>
      </w:r>
      <w:hyperlink r:id="rId20" w:history="1">
        <w:r w:rsidRPr="00874CAE">
          <w:rPr>
            <w:rStyle w:val="Hyperlink"/>
            <w:rFonts w:ascii="Arial" w:hAnsi="Arial" w:cs="Arial"/>
            <w:sz w:val="20"/>
            <w:szCs w:val="20"/>
            <w:lang w:val="en-US"/>
          </w:rPr>
          <w:t>guy.vanassche@vub.be</w:t>
        </w:r>
      </w:hyperlink>
      <w:r w:rsidRPr="00874CAE">
        <w:rPr>
          <w:rFonts w:ascii="Arial" w:hAnsi="Arial" w:cs="Arial"/>
          <w:color w:val="000000"/>
          <w:sz w:val="20"/>
          <w:szCs w:val="20"/>
          <w:lang w:val="en-US"/>
        </w:rPr>
        <w:t xml:space="preserve">) </w:t>
      </w:r>
    </w:p>
    <w:p w14:paraId="4949FCD8" w14:textId="77777777" w:rsidR="00B24767" w:rsidRPr="00874CAE" w:rsidRDefault="00B24767" w:rsidP="00B24767">
      <w:pPr>
        <w:spacing w:after="0" w:line="260" w:lineRule="atLeast"/>
        <w:jc w:val="both"/>
        <w:rPr>
          <w:rFonts w:ascii="Arial" w:hAnsi="Arial" w:cs="Arial"/>
          <w:b/>
          <w:bCs/>
          <w:color w:val="000000"/>
          <w:sz w:val="20"/>
          <w:szCs w:val="20"/>
          <w:u w:val="single"/>
          <w:lang w:val="en-US"/>
        </w:rPr>
      </w:pPr>
    </w:p>
    <w:p w14:paraId="3675C821" w14:textId="77777777" w:rsidR="00B24767" w:rsidRPr="008B0839" w:rsidRDefault="00B24767" w:rsidP="00B24767">
      <w:pPr>
        <w:spacing w:after="0" w:line="260" w:lineRule="atLeast"/>
        <w:jc w:val="both"/>
        <w:rPr>
          <w:rFonts w:ascii="Arial" w:hAnsi="Arial" w:cs="Arial"/>
          <w:color w:val="000000"/>
          <w:sz w:val="20"/>
          <w:szCs w:val="20"/>
          <w:lang w:val="en-US"/>
        </w:rPr>
      </w:pPr>
    </w:p>
    <w:p w14:paraId="013DED6C" w14:textId="16F3AD65" w:rsidR="00B166BB" w:rsidRPr="004A212A" w:rsidRDefault="00B166BB" w:rsidP="00560129">
      <w:pPr>
        <w:pStyle w:val="Heading2"/>
        <w:pageBreakBefore/>
        <w:rPr>
          <w:sz w:val="20"/>
        </w:rPr>
      </w:pPr>
      <w:r w:rsidRPr="004A212A">
        <w:rPr>
          <w:rFonts w:cstheme="minorBidi"/>
          <w:sz w:val="20"/>
          <w:szCs w:val="22"/>
        </w:rPr>
        <w:lastRenderedPageBreak/>
        <w:t>Exhibit 1</w:t>
      </w:r>
      <w:r w:rsidRPr="004A212A">
        <w:rPr>
          <w:rFonts w:cstheme="minorBidi"/>
          <w:sz w:val="20"/>
          <w:szCs w:val="22"/>
        </w:rPr>
        <w:tab/>
      </w:r>
      <w:r w:rsidRPr="009E278B">
        <w:t>Moonshot</w:t>
      </w:r>
      <w:r w:rsidRPr="004A212A">
        <w:rPr>
          <w:rFonts w:cstheme="minorBidi"/>
          <w:sz w:val="20"/>
          <w:szCs w:val="22"/>
        </w:rPr>
        <w:t xml:space="preserve"> Advisory Board Accession Form</w:t>
      </w:r>
    </w:p>
    <w:p w14:paraId="3FC9FE42" w14:textId="77777777" w:rsidR="00B166BB" w:rsidRDefault="00B166BB" w:rsidP="00B166BB">
      <w:pPr>
        <w:pStyle w:val="Heading2"/>
      </w:pPr>
    </w:p>
    <w:p w14:paraId="376AD3D2" w14:textId="77777777" w:rsidR="00244FE8" w:rsidRPr="00863716" w:rsidRDefault="00244FE8" w:rsidP="00244FE8">
      <w:pPr>
        <w:autoSpaceDE w:val="0"/>
        <w:autoSpaceDN w:val="0"/>
        <w:adjustRightInd w:val="0"/>
        <w:spacing w:after="0" w:line="240" w:lineRule="auto"/>
        <w:jc w:val="both"/>
        <w:rPr>
          <w:rFonts w:ascii="Calibri" w:eastAsia="SimSun" w:hAnsi="Calibri" w:cs="Calibri"/>
          <w:bCs/>
          <w:spacing w:val="-3"/>
          <w:sz w:val="20"/>
          <w:szCs w:val="20"/>
          <w:lang w:val="en-GB" w:eastAsia="fi-FI"/>
        </w:rPr>
      </w:pPr>
      <w:r w:rsidRPr="00863716">
        <w:rPr>
          <w:rFonts w:ascii="Calibri" w:eastAsia="SimSun" w:hAnsi="Calibri" w:cs="Calibri"/>
          <w:bCs/>
          <w:spacing w:val="-3"/>
          <w:sz w:val="20"/>
          <w:szCs w:val="20"/>
          <w:lang w:val="en-GB" w:eastAsia="fi-FI"/>
        </w:rPr>
        <w:t>Certain Flemish research institutions (the “</w:t>
      </w:r>
      <w:r w:rsidRPr="00863716">
        <w:rPr>
          <w:rFonts w:ascii="Calibri" w:eastAsia="SimSun" w:hAnsi="Calibri" w:cs="Calibri"/>
          <w:b/>
          <w:bCs/>
          <w:spacing w:val="-3"/>
          <w:sz w:val="20"/>
          <w:szCs w:val="20"/>
          <w:lang w:val="en-GB" w:eastAsia="fi-FI"/>
        </w:rPr>
        <w:t>Institutions</w:t>
      </w:r>
      <w:r w:rsidRPr="00863716">
        <w:rPr>
          <w:rFonts w:ascii="Calibri" w:eastAsia="SimSun" w:hAnsi="Calibri" w:cs="Calibri"/>
          <w:bCs/>
          <w:spacing w:val="-3"/>
          <w:sz w:val="20"/>
          <w:szCs w:val="20"/>
          <w:lang w:val="en-GB" w:eastAsia="fi-FI"/>
        </w:rPr>
        <w:t>”) will submit through the Moonshot department of Catalisti a Moonshot project proposal (the “</w:t>
      </w:r>
      <w:r w:rsidRPr="00863716">
        <w:rPr>
          <w:rFonts w:ascii="Calibri" w:eastAsia="SimSun" w:hAnsi="Calibri" w:cs="Calibri"/>
          <w:b/>
          <w:bCs/>
          <w:spacing w:val="-3"/>
          <w:sz w:val="20"/>
          <w:szCs w:val="20"/>
          <w:lang w:val="en-GB" w:eastAsia="fi-FI"/>
        </w:rPr>
        <w:t>Project</w:t>
      </w:r>
      <w:r w:rsidRPr="00863716">
        <w:rPr>
          <w:rFonts w:ascii="Calibri" w:eastAsia="SimSun" w:hAnsi="Calibri" w:cs="Calibri"/>
          <w:bCs/>
          <w:spacing w:val="-3"/>
          <w:sz w:val="20"/>
          <w:szCs w:val="20"/>
          <w:lang w:val="en-GB" w:eastAsia="fi-FI"/>
        </w:rPr>
        <w:t xml:space="preserve">”) for funding to </w:t>
      </w:r>
      <w:r w:rsidRPr="00863716">
        <w:rPr>
          <w:rFonts w:ascii="Calibri" w:eastAsia="SimSun" w:hAnsi="Calibri" w:cs="Calibri"/>
          <w:bCs/>
          <w:i/>
          <w:spacing w:val="-3"/>
          <w:sz w:val="20"/>
          <w:szCs w:val="20"/>
          <w:lang w:val="en-GB" w:eastAsia="fi-FI"/>
        </w:rPr>
        <w:t>Vlaams Agentschap voor Innovatie en Ondernemen</w:t>
      </w:r>
      <w:r w:rsidRPr="00863716">
        <w:rPr>
          <w:rFonts w:ascii="Calibri" w:eastAsia="SimSun" w:hAnsi="Calibri" w:cs="Calibri"/>
          <w:bCs/>
          <w:spacing w:val="-3"/>
          <w:sz w:val="20"/>
          <w:szCs w:val="20"/>
          <w:lang w:val="en-GB" w:eastAsia="fi-FI"/>
        </w:rPr>
        <w:t xml:space="preserve"> (“</w:t>
      </w:r>
      <w:r w:rsidRPr="00863716">
        <w:rPr>
          <w:rFonts w:ascii="Calibri" w:eastAsia="SimSun" w:hAnsi="Calibri" w:cs="Calibri"/>
          <w:b/>
          <w:bCs/>
          <w:spacing w:val="-3"/>
          <w:sz w:val="20"/>
          <w:szCs w:val="20"/>
          <w:lang w:val="en-GB" w:eastAsia="fi-FI"/>
        </w:rPr>
        <w:t>VLAIO</w:t>
      </w:r>
      <w:r w:rsidRPr="00863716">
        <w:rPr>
          <w:rFonts w:ascii="Calibri" w:eastAsia="SimSun" w:hAnsi="Calibri" w:cs="Calibri"/>
          <w:bCs/>
          <w:spacing w:val="-3"/>
          <w:sz w:val="20"/>
          <w:szCs w:val="20"/>
          <w:lang w:val="en-GB" w:eastAsia="fi-FI"/>
        </w:rPr>
        <w:t>”) and will sign a</w:t>
      </w:r>
      <w:r>
        <w:rPr>
          <w:rFonts w:ascii="Calibri" w:eastAsia="SimSun" w:hAnsi="Calibri" w:cs="Calibri"/>
          <w:bCs/>
          <w:spacing w:val="-3"/>
          <w:sz w:val="20"/>
          <w:szCs w:val="20"/>
          <w:lang w:val="en-GB" w:eastAsia="fi-FI"/>
        </w:rPr>
        <w:t xml:space="preserve"> Moonshot</w:t>
      </w:r>
      <w:r w:rsidRPr="00863716">
        <w:rPr>
          <w:rFonts w:ascii="Calibri" w:eastAsia="SimSun" w:hAnsi="Calibri" w:cs="Calibri"/>
          <w:bCs/>
          <w:spacing w:val="-3"/>
          <w:sz w:val="20"/>
          <w:szCs w:val="20"/>
          <w:lang w:val="en-GB" w:eastAsia="fi-FI"/>
        </w:rPr>
        <w:t xml:space="preserve"> </w:t>
      </w:r>
      <w:r w:rsidRPr="005B2397">
        <w:rPr>
          <w:rFonts w:ascii="Calibri" w:eastAsia="SimSun" w:hAnsi="Calibri" w:cs="Calibri"/>
          <w:bCs/>
          <w:spacing w:val="-3"/>
          <w:sz w:val="20"/>
          <w:szCs w:val="20"/>
          <w:lang w:val="en-GB" w:eastAsia="fi-FI"/>
        </w:rPr>
        <w:t>collaboration agreement</w:t>
      </w:r>
      <w:r w:rsidRPr="00863716">
        <w:rPr>
          <w:rFonts w:ascii="Calibri" w:hAnsi="Calibri"/>
          <w:i/>
          <w:spacing w:val="-3"/>
          <w:sz w:val="20"/>
          <w:lang w:val="en-GB"/>
        </w:rPr>
        <w:t xml:space="preserve"> </w:t>
      </w:r>
      <w:r w:rsidRPr="00863716">
        <w:rPr>
          <w:rFonts w:ascii="Calibri" w:eastAsia="SimSun" w:hAnsi="Calibri" w:cs="Calibri"/>
          <w:bCs/>
          <w:spacing w:val="-3"/>
          <w:sz w:val="20"/>
          <w:szCs w:val="20"/>
          <w:lang w:val="en-GB" w:eastAsia="fi-FI"/>
        </w:rPr>
        <w:t>upon approval of the Project by VLAIO (the “</w:t>
      </w:r>
      <w:r w:rsidRPr="00863716">
        <w:rPr>
          <w:rFonts w:ascii="Calibri" w:eastAsia="SimSun" w:hAnsi="Calibri" w:cs="Calibri"/>
          <w:b/>
          <w:bCs/>
          <w:spacing w:val="-3"/>
          <w:sz w:val="20"/>
          <w:szCs w:val="20"/>
          <w:lang w:val="en-GB" w:eastAsia="fi-FI"/>
        </w:rPr>
        <w:t>Agreement</w:t>
      </w:r>
      <w:r w:rsidRPr="00863716">
        <w:rPr>
          <w:rFonts w:ascii="Calibri" w:eastAsia="SimSun" w:hAnsi="Calibri" w:cs="Calibri"/>
          <w:bCs/>
          <w:spacing w:val="-3"/>
          <w:sz w:val="20"/>
          <w:szCs w:val="20"/>
          <w:lang w:val="en-GB" w:eastAsia="fi-FI"/>
        </w:rPr>
        <w:t>”).</w:t>
      </w:r>
    </w:p>
    <w:p w14:paraId="184CF05D" w14:textId="77777777" w:rsidR="00244FE8" w:rsidRPr="00863716" w:rsidRDefault="00244FE8" w:rsidP="00244FE8">
      <w:pPr>
        <w:autoSpaceDE w:val="0"/>
        <w:autoSpaceDN w:val="0"/>
        <w:adjustRightInd w:val="0"/>
        <w:spacing w:after="0" w:line="240" w:lineRule="auto"/>
        <w:jc w:val="both"/>
        <w:rPr>
          <w:rFonts w:ascii="Calibri" w:eastAsia="SimSun" w:hAnsi="Calibri" w:cs="Calibri"/>
          <w:bCs/>
          <w:spacing w:val="-3"/>
          <w:sz w:val="20"/>
          <w:szCs w:val="20"/>
          <w:lang w:val="en-GB" w:eastAsia="fi-FI"/>
        </w:rPr>
      </w:pPr>
    </w:p>
    <w:p w14:paraId="5AADE7CA" w14:textId="77777777" w:rsidR="00244FE8" w:rsidRPr="00863716" w:rsidRDefault="00244FE8" w:rsidP="00244FE8">
      <w:pPr>
        <w:spacing w:after="0" w:line="240" w:lineRule="auto"/>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Upon approval of the Project by VLAIO, an advisory board</w:t>
      </w:r>
      <w:r>
        <w:rPr>
          <w:rFonts w:ascii="Calibri" w:eastAsia="Times New Roman" w:hAnsi="Calibri" w:cs="Calibri"/>
          <w:sz w:val="20"/>
          <w:szCs w:val="20"/>
          <w:lang w:val="en-US"/>
        </w:rPr>
        <w:t>,</w:t>
      </w:r>
      <w:r w:rsidRPr="00863716">
        <w:rPr>
          <w:rFonts w:ascii="Calibri" w:eastAsia="Times New Roman" w:hAnsi="Calibri" w:cs="Calibri"/>
          <w:sz w:val="20"/>
          <w:szCs w:val="20"/>
          <w:lang w:val="en-US"/>
        </w:rPr>
        <w:t xml:space="preserve"> composed of companies with a particular interest in the research</w:t>
      </w:r>
      <w:r>
        <w:rPr>
          <w:rFonts w:ascii="Calibri" w:eastAsia="Times New Roman" w:hAnsi="Calibri" w:cs="Calibri"/>
          <w:sz w:val="20"/>
          <w:szCs w:val="20"/>
          <w:lang w:val="en-US"/>
        </w:rPr>
        <w:t xml:space="preserve"> to be</w:t>
      </w:r>
      <w:r w:rsidRPr="00863716">
        <w:rPr>
          <w:rFonts w:ascii="Calibri" w:eastAsia="Times New Roman" w:hAnsi="Calibri" w:cs="Calibri"/>
          <w:sz w:val="20"/>
          <w:szCs w:val="20"/>
          <w:lang w:val="en-US"/>
        </w:rPr>
        <w:t xml:space="preserve"> performed under the Project will be established (the “</w:t>
      </w:r>
      <w:r w:rsidRPr="00863716">
        <w:rPr>
          <w:rFonts w:ascii="Calibri" w:eastAsia="Times New Roman" w:hAnsi="Calibri" w:cs="Calibri"/>
          <w:b/>
          <w:sz w:val="20"/>
          <w:szCs w:val="20"/>
          <w:lang w:val="en-US"/>
        </w:rPr>
        <w:t>Advisory Board</w:t>
      </w:r>
      <w:r w:rsidRPr="00863716">
        <w:rPr>
          <w:rFonts w:ascii="Calibri" w:eastAsia="Times New Roman" w:hAnsi="Calibri" w:cs="Calibri"/>
          <w:sz w:val="20"/>
          <w:szCs w:val="20"/>
          <w:lang w:val="en-US"/>
        </w:rPr>
        <w:t>”, with each such company</w:t>
      </w:r>
      <w:r>
        <w:rPr>
          <w:rFonts w:ascii="Calibri" w:eastAsia="Times New Roman" w:hAnsi="Calibri" w:cs="Calibri"/>
          <w:sz w:val="20"/>
          <w:szCs w:val="20"/>
          <w:lang w:val="en-US"/>
        </w:rPr>
        <w:t xml:space="preserve"> being referred to as</w:t>
      </w:r>
      <w:r w:rsidRPr="00863716">
        <w:rPr>
          <w:rFonts w:ascii="Calibri" w:eastAsia="Times New Roman" w:hAnsi="Calibri" w:cs="Calibri"/>
          <w:sz w:val="20"/>
          <w:szCs w:val="20"/>
          <w:lang w:val="en-US"/>
        </w:rPr>
        <w:t xml:space="preserve"> a “</w:t>
      </w:r>
      <w:r w:rsidRPr="00863716">
        <w:rPr>
          <w:rFonts w:ascii="Calibri" w:eastAsia="Times New Roman" w:hAnsi="Calibri" w:cs="Calibri"/>
          <w:b/>
          <w:sz w:val="20"/>
          <w:szCs w:val="20"/>
          <w:lang w:val="en-US"/>
        </w:rPr>
        <w:t>Participant</w:t>
      </w:r>
      <w:r w:rsidRPr="00863716">
        <w:rPr>
          <w:rFonts w:ascii="Calibri" w:eastAsia="Times New Roman" w:hAnsi="Calibri" w:cs="Calibri"/>
          <w:sz w:val="20"/>
          <w:szCs w:val="20"/>
          <w:lang w:val="en-US"/>
        </w:rPr>
        <w:t>” and jointly the “</w:t>
      </w:r>
      <w:r w:rsidRPr="00863716">
        <w:rPr>
          <w:rFonts w:ascii="Calibri" w:eastAsia="Times New Roman" w:hAnsi="Calibri" w:cs="Calibri"/>
          <w:b/>
          <w:sz w:val="20"/>
          <w:szCs w:val="20"/>
          <w:lang w:val="en-US"/>
        </w:rPr>
        <w:t>Participants</w:t>
      </w:r>
      <w:r w:rsidRPr="00863716">
        <w:rPr>
          <w:rFonts w:ascii="Calibri" w:eastAsia="Times New Roman" w:hAnsi="Calibri" w:cs="Calibri"/>
          <w:sz w:val="20"/>
          <w:szCs w:val="20"/>
          <w:lang w:val="en-US"/>
        </w:rPr>
        <w:t>”).  The Advisory Board will act as an advisory group to the Institutions with respect to the performance of the Project and as a sounding board to explore the possibilities of economic implementation of the Foreground. “</w:t>
      </w:r>
      <w:r w:rsidRPr="00863716">
        <w:rPr>
          <w:rFonts w:ascii="Calibri" w:eastAsia="Times New Roman" w:hAnsi="Calibri" w:cs="Calibri"/>
          <w:b/>
          <w:sz w:val="20"/>
          <w:szCs w:val="20"/>
          <w:lang w:val="en-US"/>
        </w:rPr>
        <w:t>Foreground</w:t>
      </w:r>
      <w:r w:rsidRPr="00863716">
        <w:rPr>
          <w:rFonts w:ascii="Calibri" w:eastAsia="Times New Roman" w:hAnsi="Calibri" w:cs="Calibri"/>
          <w:sz w:val="20"/>
          <w:szCs w:val="20"/>
          <w:lang w:val="en-US"/>
        </w:rPr>
        <w:t>” means the results generated by the Institutions under the Project.</w:t>
      </w:r>
    </w:p>
    <w:p w14:paraId="5CA21F93" w14:textId="77777777" w:rsidR="00244FE8" w:rsidRPr="00863716" w:rsidRDefault="00244FE8" w:rsidP="00244FE8">
      <w:pPr>
        <w:spacing w:after="0" w:line="240" w:lineRule="auto"/>
        <w:jc w:val="both"/>
        <w:rPr>
          <w:rFonts w:ascii="Calibri" w:eastAsia="Times New Roman" w:hAnsi="Calibri" w:cs="Calibri"/>
          <w:sz w:val="20"/>
          <w:szCs w:val="20"/>
          <w:lang w:val="en-US"/>
        </w:rPr>
      </w:pPr>
    </w:p>
    <w:p w14:paraId="52A23985" w14:textId="77777777" w:rsidR="00244FE8" w:rsidRPr="00863716" w:rsidRDefault="00244FE8" w:rsidP="00244FE8">
      <w:pPr>
        <w:spacing w:after="0" w:line="240" w:lineRule="auto"/>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This Moonshot Advisory Board Accession Form (the “</w:t>
      </w:r>
      <w:r w:rsidRPr="00863716">
        <w:rPr>
          <w:rFonts w:ascii="Calibri" w:eastAsia="Times New Roman" w:hAnsi="Calibri" w:cs="Calibri"/>
          <w:b/>
          <w:sz w:val="20"/>
          <w:szCs w:val="20"/>
          <w:lang w:val="en-US"/>
        </w:rPr>
        <w:t>ABA Form</w:t>
      </w:r>
      <w:r w:rsidRPr="00863716">
        <w:rPr>
          <w:rFonts w:ascii="Calibri" w:eastAsia="Times New Roman" w:hAnsi="Calibri" w:cs="Calibri"/>
          <w:sz w:val="20"/>
          <w:szCs w:val="20"/>
          <w:lang w:val="en-US"/>
        </w:rPr>
        <w:t xml:space="preserve">”) lays down the organization and objectives of the Advisory Board as well as the protection of confidential information disclosed by </w:t>
      </w:r>
      <w:r>
        <w:rPr>
          <w:rFonts w:ascii="Calibri" w:eastAsia="Times New Roman" w:hAnsi="Calibri" w:cs="Calibri"/>
          <w:sz w:val="20"/>
          <w:szCs w:val="20"/>
          <w:lang w:val="en-US"/>
        </w:rPr>
        <w:t xml:space="preserve">and to </w:t>
      </w:r>
      <w:r w:rsidRPr="00863716">
        <w:rPr>
          <w:rFonts w:ascii="Calibri" w:eastAsia="Times New Roman" w:hAnsi="Calibri" w:cs="Calibri"/>
          <w:sz w:val="20"/>
          <w:szCs w:val="20"/>
          <w:lang w:val="en-US"/>
        </w:rPr>
        <w:t>the Institutions and the Participants (each of those entities a “</w:t>
      </w:r>
      <w:r w:rsidRPr="00863716">
        <w:rPr>
          <w:rFonts w:ascii="Calibri" w:eastAsia="Times New Roman" w:hAnsi="Calibri" w:cs="Calibri"/>
          <w:b/>
          <w:sz w:val="20"/>
          <w:szCs w:val="20"/>
          <w:lang w:val="en-US"/>
        </w:rPr>
        <w:t>Party</w:t>
      </w:r>
      <w:r w:rsidRPr="00863716">
        <w:rPr>
          <w:rFonts w:ascii="Calibri" w:eastAsia="Times New Roman" w:hAnsi="Calibri" w:cs="Calibri"/>
          <w:sz w:val="20"/>
          <w:szCs w:val="20"/>
          <w:lang w:val="en-US"/>
        </w:rPr>
        <w:t>” and jointly the “</w:t>
      </w:r>
      <w:r w:rsidRPr="00863716">
        <w:rPr>
          <w:rFonts w:ascii="Calibri" w:eastAsia="Times New Roman" w:hAnsi="Calibri" w:cs="Calibri"/>
          <w:b/>
          <w:sz w:val="20"/>
          <w:szCs w:val="20"/>
          <w:lang w:val="en-US"/>
        </w:rPr>
        <w:t>Parties</w:t>
      </w:r>
      <w:r w:rsidRPr="00863716">
        <w:rPr>
          <w:rFonts w:ascii="Calibri" w:eastAsia="Times New Roman" w:hAnsi="Calibri" w:cs="Calibri"/>
          <w:sz w:val="20"/>
          <w:szCs w:val="20"/>
          <w:lang w:val="en-US"/>
        </w:rPr>
        <w:t>”) and will become effective upon approval of the Project by VLAIO.</w:t>
      </w:r>
    </w:p>
    <w:p w14:paraId="34858B78" w14:textId="77777777" w:rsidR="00244FE8" w:rsidRPr="00863716" w:rsidRDefault="00244FE8" w:rsidP="00244FE8">
      <w:pPr>
        <w:spacing w:after="0" w:line="240" w:lineRule="auto"/>
        <w:jc w:val="both"/>
        <w:rPr>
          <w:rFonts w:ascii="Calibri" w:eastAsia="Times New Roman" w:hAnsi="Calibri" w:cs="Calibri"/>
          <w:sz w:val="20"/>
          <w:szCs w:val="20"/>
          <w:lang w:val="en-US"/>
        </w:rPr>
      </w:pPr>
    </w:p>
    <w:p w14:paraId="02444082" w14:textId="77777777" w:rsidR="00244FE8" w:rsidRPr="00863716" w:rsidRDefault="00244FE8" w:rsidP="00244FE8">
      <w:pPr>
        <w:spacing w:after="0" w:line="240" w:lineRule="auto"/>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 xml:space="preserve">Each Participant will be bound to </w:t>
      </w:r>
      <w:r>
        <w:rPr>
          <w:rFonts w:ascii="Calibri" w:eastAsia="Times New Roman" w:hAnsi="Calibri" w:cs="Calibri"/>
          <w:sz w:val="20"/>
          <w:szCs w:val="20"/>
          <w:lang w:val="en-US"/>
        </w:rPr>
        <w:t xml:space="preserve">the terms of </w:t>
      </w:r>
      <w:r w:rsidRPr="00896217">
        <w:rPr>
          <w:rFonts w:ascii="Calibri" w:eastAsia="Times New Roman" w:hAnsi="Calibri" w:cs="Calibri"/>
          <w:sz w:val="20"/>
          <w:szCs w:val="20"/>
          <w:lang w:val="en-US"/>
        </w:rPr>
        <w:t xml:space="preserve">an advisory board accession form which is substantially similar to </w:t>
      </w:r>
      <w:r w:rsidRPr="00863716">
        <w:rPr>
          <w:rFonts w:ascii="Calibri" w:eastAsia="Times New Roman" w:hAnsi="Calibri" w:cs="Calibri"/>
          <w:sz w:val="20"/>
          <w:szCs w:val="20"/>
          <w:lang w:val="en-US"/>
        </w:rPr>
        <w:t>this ABA Form through its signature of the Letter of Intent for the Project</w:t>
      </w:r>
      <w:r>
        <w:rPr>
          <w:rFonts w:ascii="Calibri" w:eastAsia="Times New Roman" w:hAnsi="Calibri" w:cs="Calibri"/>
          <w:sz w:val="20"/>
          <w:szCs w:val="20"/>
          <w:lang w:val="en-US"/>
        </w:rPr>
        <w:t xml:space="preserve"> or </w:t>
      </w:r>
      <w:r w:rsidRPr="00896217">
        <w:rPr>
          <w:rFonts w:ascii="Calibri" w:eastAsia="Times New Roman" w:hAnsi="Calibri" w:cs="Calibri"/>
          <w:sz w:val="20"/>
          <w:szCs w:val="20"/>
          <w:lang w:val="en-US"/>
        </w:rPr>
        <w:t>by executing a separate advisory board accession form</w:t>
      </w:r>
      <w:r w:rsidRPr="00863716">
        <w:rPr>
          <w:rFonts w:ascii="Calibri" w:eastAsia="Times New Roman" w:hAnsi="Calibri" w:cs="Calibri"/>
          <w:sz w:val="20"/>
          <w:szCs w:val="20"/>
          <w:lang w:val="en-US"/>
        </w:rPr>
        <w:t xml:space="preserve">. The Institutions </w:t>
      </w:r>
      <w:r>
        <w:rPr>
          <w:rFonts w:ascii="Calibri" w:eastAsia="Times New Roman" w:hAnsi="Calibri" w:cs="Calibri"/>
          <w:sz w:val="20"/>
          <w:szCs w:val="20"/>
          <w:lang w:val="en-US"/>
        </w:rPr>
        <w:t xml:space="preserve">will be </w:t>
      </w:r>
      <w:r w:rsidRPr="00863716">
        <w:rPr>
          <w:rFonts w:ascii="Calibri" w:eastAsia="Times New Roman" w:hAnsi="Calibri" w:cs="Calibri"/>
          <w:sz w:val="20"/>
          <w:szCs w:val="20"/>
          <w:lang w:val="en-US"/>
        </w:rPr>
        <w:t xml:space="preserve">bound by the Agreement to an obligation to protect confidential information disclosed by the Participants in the scope of the Advisory Board which is substantially the same as that set out in Section 3 below. For the purpose of the enforcement of its rights, each Party will </w:t>
      </w:r>
      <w:r>
        <w:rPr>
          <w:rFonts w:ascii="Calibri" w:eastAsia="Times New Roman" w:hAnsi="Calibri" w:cs="Calibri"/>
          <w:sz w:val="20"/>
          <w:szCs w:val="20"/>
          <w:lang w:val="en-US"/>
        </w:rPr>
        <w:t xml:space="preserve">upon request </w:t>
      </w:r>
      <w:r w:rsidRPr="00863716">
        <w:rPr>
          <w:rFonts w:ascii="Calibri" w:eastAsia="Times New Roman" w:hAnsi="Calibri" w:cs="Calibri"/>
          <w:sz w:val="20"/>
          <w:szCs w:val="20"/>
          <w:lang w:val="en-US"/>
        </w:rPr>
        <w:t xml:space="preserve">be provided by Catalisti with a (redacted) copy of all Letters of Intent </w:t>
      </w:r>
      <w:r>
        <w:rPr>
          <w:rFonts w:ascii="Calibri" w:eastAsia="Times New Roman" w:hAnsi="Calibri" w:cs="Calibri"/>
          <w:sz w:val="20"/>
          <w:szCs w:val="20"/>
          <w:lang w:val="en-US"/>
        </w:rPr>
        <w:t xml:space="preserve">and/or </w:t>
      </w:r>
      <w:r w:rsidRPr="00896217">
        <w:rPr>
          <w:rFonts w:ascii="Calibri" w:eastAsia="Times New Roman" w:hAnsi="Calibri" w:cs="Calibri"/>
          <w:sz w:val="20"/>
          <w:szCs w:val="20"/>
          <w:lang w:val="en-US"/>
        </w:rPr>
        <w:t>advisory board accession form</w:t>
      </w:r>
      <w:r>
        <w:rPr>
          <w:rFonts w:ascii="Calibri" w:eastAsia="Times New Roman" w:hAnsi="Calibri" w:cs="Calibri"/>
          <w:sz w:val="20"/>
          <w:szCs w:val="20"/>
          <w:lang w:val="en-US"/>
        </w:rPr>
        <w:t>s</w:t>
      </w:r>
      <w:r w:rsidRPr="00863716">
        <w:rPr>
          <w:rFonts w:ascii="Calibri" w:eastAsia="Times New Roman" w:hAnsi="Calibri" w:cs="Calibri"/>
          <w:sz w:val="20"/>
          <w:szCs w:val="20"/>
          <w:lang w:val="en-US"/>
        </w:rPr>
        <w:t xml:space="preserve"> signed by all Participants and of the Agreement signed by the Institutions. </w:t>
      </w:r>
    </w:p>
    <w:p w14:paraId="0F6B5A66" w14:textId="77777777" w:rsidR="00244FE8" w:rsidRPr="00863716" w:rsidRDefault="00244FE8" w:rsidP="00244FE8">
      <w:pPr>
        <w:spacing w:after="0" w:line="240" w:lineRule="auto"/>
        <w:jc w:val="both"/>
        <w:rPr>
          <w:rFonts w:ascii="Calibri" w:eastAsia="Times New Roman" w:hAnsi="Calibri" w:cs="Calibri"/>
          <w:sz w:val="20"/>
          <w:szCs w:val="20"/>
          <w:lang w:val="en-US"/>
        </w:rPr>
      </w:pPr>
    </w:p>
    <w:p w14:paraId="2477C41D" w14:textId="77777777" w:rsidR="00244FE8" w:rsidRPr="00863716" w:rsidRDefault="00244FE8" w:rsidP="00244FE8">
      <w:pPr>
        <w:spacing w:after="0" w:line="240" w:lineRule="auto"/>
        <w:jc w:val="both"/>
        <w:rPr>
          <w:rFonts w:ascii="Calibri" w:eastAsia="Times New Roman" w:hAnsi="Calibri" w:cs="Calibri"/>
          <w:sz w:val="20"/>
          <w:szCs w:val="20"/>
          <w:lang w:val="en-US"/>
        </w:rPr>
      </w:pPr>
    </w:p>
    <w:p w14:paraId="21AB5AD6" w14:textId="77777777" w:rsidR="00244FE8" w:rsidRPr="00863716" w:rsidRDefault="00244FE8" w:rsidP="00244FE8">
      <w:pPr>
        <w:numPr>
          <w:ilvl w:val="0"/>
          <w:numId w:val="20"/>
        </w:numPr>
        <w:spacing w:after="0" w:line="240" w:lineRule="auto"/>
        <w:ind w:left="426" w:hanging="426"/>
        <w:jc w:val="both"/>
        <w:rPr>
          <w:rFonts w:ascii="Calibri" w:eastAsia="SimSun" w:hAnsi="Calibri" w:cs="Calibri"/>
          <w:b/>
          <w:caps/>
          <w:spacing w:val="-3"/>
          <w:sz w:val="20"/>
          <w:szCs w:val="20"/>
          <w:lang w:val="en-US" w:eastAsia="fi-FI"/>
        </w:rPr>
      </w:pPr>
      <w:r w:rsidRPr="00863716">
        <w:rPr>
          <w:rFonts w:ascii="Calibri" w:eastAsia="SimSun" w:hAnsi="Calibri" w:cs="Calibri"/>
          <w:b/>
          <w:caps/>
          <w:spacing w:val="-3"/>
          <w:sz w:val="20"/>
          <w:szCs w:val="20"/>
          <w:lang w:val="en-US" w:eastAsia="fi-FI"/>
        </w:rPr>
        <w:t>APPOINTMENT AND Role of the Advisory Board</w:t>
      </w:r>
    </w:p>
    <w:p w14:paraId="45C89677" w14:textId="77777777" w:rsidR="00244FE8" w:rsidRPr="00863716" w:rsidRDefault="00244FE8" w:rsidP="00244FE8">
      <w:pPr>
        <w:spacing w:after="0" w:line="240" w:lineRule="auto"/>
        <w:jc w:val="both"/>
        <w:rPr>
          <w:rFonts w:ascii="Calibri" w:eastAsia="Times New Roman" w:hAnsi="Calibri" w:cs="Calibri"/>
          <w:b/>
          <w:sz w:val="20"/>
          <w:szCs w:val="20"/>
          <w:lang w:val="en-US"/>
        </w:rPr>
      </w:pPr>
    </w:p>
    <w:p w14:paraId="3B411B16"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1.1</w:t>
      </w:r>
      <w:r w:rsidRPr="00863716">
        <w:rPr>
          <w:rFonts w:ascii="Calibri" w:eastAsia="Times New Roman" w:hAnsi="Calibri" w:cs="Calibri"/>
          <w:sz w:val="20"/>
          <w:szCs w:val="20"/>
          <w:lang w:val="en-US"/>
        </w:rPr>
        <w:tab/>
        <w:t>In its Letter of Intent, the Participant appoints its representative in the Advisory Board (the “</w:t>
      </w:r>
      <w:r w:rsidRPr="00863716">
        <w:rPr>
          <w:rFonts w:ascii="Calibri" w:eastAsia="Times New Roman" w:hAnsi="Calibri" w:cs="Calibri"/>
          <w:b/>
          <w:sz w:val="20"/>
          <w:szCs w:val="20"/>
          <w:lang w:val="en-US"/>
        </w:rPr>
        <w:t>Representative</w:t>
      </w:r>
      <w:r w:rsidRPr="00863716">
        <w:rPr>
          <w:rFonts w:ascii="Calibri" w:eastAsia="Times New Roman" w:hAnsi="Calibri" w:cs="Calibri"/>
          <w:sz w:val="20"/>
          <w:szCs w:val="20"/>
          <w:lang w:val="en-US"/>
        </w:rPr>
        <w:t>”).</w:t>
      </w:r>
    </w:p>
    <w:p w14:paraId="4BB8FC40" w14:textId="77777777" w:rsidR="00244FE8" w:rsidRPr="00863716" w:rsidRDefault="00244FE8" w:rsidP="00244FE8">
      <w:pPr>
        <w:spacing w:after="0" w:line="240" w:lineRule="auto"/>
        <w:ind w:firstLine="426"/>
        <w:jc w:val="both"/>
        <w:rPr>
          <w:rFonts w:ascii="Calibri" w:eastAsia="Times New Roman" w:hAnsi="Calibri" w:cs="Calibri"/>
          <w:sz w:val="20"/>
          <w:szCs w:val="20"/>
          <w:u w:val="single"/>
          <w:lang w:val="gd-GB"/>
        </w:rPr>
      </w:pPr>
    </w:p>
    <w:p w14:paraId="12B1F440"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1.2</w:t>
      </w:r>
      <w:r w:rsidRPr="00863716">
        <w:rPr>
          <w:rFonts w:ascii="Calibri" w:eastAsia="Times New Roman" w:hAnsi="Calibri" w:cs="Calibri"/>
          <w:sz w:val="20"/>
          <w:szCs w:val="20"/>
          <w:lang w:val="en-US"/>
        </w:rPr>
        <w:tab/>
        <w:t>The Participant will ensure that its Representative will dedicate sufficient time and effort to the fulfillment of its role in the Advisory Board. In the event that a Representative becomes unavailable or the coordinator of the Project (the “</w:t>
      </w:r>
      <w:r w:rsidRPr="00863716">
        <w:rPr>
          <w:rFonts w:ascii="Calibri" w:eastAsia="Times New Roman" w:hAnsi="Calibri" w:cs="Calibri"/>
          <w:b/>
          <w:sz w:val="20"/>
          <w:szCs w:val="20"/>
          <w:lang w:val="en-US"/>
        </w:rPr>
        <w:t>Coordinator</w:t>
      </w:r>
      <w:r w:rsidRPr="00863716">
        <w:rPr>
          <w:rFonts w:ascii="Calibri" w:eastAsia="Times New Roman" w:hAnsi="Calibri" w:cs="Calibri"/>
          <w:sz w:val="20"/>
          <w:szCs w:val="20"/>
          <w:lang w:val="en-US"/>
        </w:rPr>
        <w:t>”) informs the Participant of such Representative’s failure to fulfill its role in the Advisory Board, the Participant will promptly inform the Coordinator of the contact details of a successor with comparable skills and expertise it has appointed.</w:t>
      </w:r>
    </w:p>
    <w:p w14:paraId="4FF3FC4A"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p>
    <w:p w14:paraId="5E226FD5"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1.3</w:t>
      </w:r>
      <w:r w:rsidRPr="00863716">
        <w:rPr>
          <w:rFonts w:ascii="Calibri" w:eastAsia="Times New Roman" w:hAnsi="Calibri" w:cs="Calibri"/>
          <w:sz w:val="20"/>
          <w:szCs w:val="20"/>
          <w:lang w:val="en-US"/>
        </w:rPr>
        <w:tab/>
        <w:t>The Participant may resign from the Advisory Board by giving one month prior written notice to the Coordinator.</w:t>
      </w:r>
    </w:p>
    <w:p w14:paraId="6A292D1F"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p>
    <w:p w14:paraId="48B4E9EF"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1.4</w:t>
      </w:r>
      <w:r w:rsidRPr="00863716">
        <w:rPr>
          <w:rFonts w:ascii="Calibri" w:eastAsia="Times New Roman" w:hAnsi="Calibri" w:cs="Calibri"/>
          <w:sz w:val="20"/>
          <w:szCs w:val="20"/>
          <w:lang w:val="en-US"/>
        </w:rPr>
        <w:tab/>
        <w:t xml:space="preserve">The Representative will be regularly informed on the progress of the Project to the extent as necessary for the evaluation of the economic potential of the Project and be provided an insight in the Foreground obtained under the Project. </w:t>
      </w:r>
    </w:p>
    <w:p w14:paraId="5F7F5056"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p>
    <w:p w14:paraId="3239DD44"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1.5</w:t>
      </w:r>
      <w:r w:rsidRPr="00863716">
        <w:rPr>
          <w:rFonts w:ascii="Calibri" w:eastAsia="Times New Roman" w:hAnsi="Calibri" w:cs="Calibri"/>
          <w:sz w:val="20"/>
          <w:szCs w:val="20"/>
          <w:lang w:val="en-US"/>
        </w:rPr>
        <w:tab/>
        <w:t>The Representative as part of the Advisory Board will (i) advise the Institutions with respect to the performance of the Project and formulate general recommendations on the execution of the Project in view of the expected valorisation potential of the Foreground, and (ii) act as a sounding board to explore the possibilities of economic implementation of the Foreground.  The Representative will also monitor the valorisation plan of the Project (to the extent it has been disclosed to the Advisory Board).</w:t>
      </w:r>
    </w:p>
    <w:p w14:paraId="70EA545D"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p>
    <w:p w14:paraId="68B36BBE"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1.6</w:t>
      </w:r>
      <w:r w:rsidRPr="00863716">
        <w:rPr>
          <w:rFonts w:ascii="Calibri" w:eastAsia="Times New Roman" w:hAnsi="Calibri" w:cs="Calibri"/>
          <w:sz w:val="20"/>
          <w:szCs w:val="20"/>
          <w:lang w:val="en-US"/>
        </w:rPr>
        <w:tab/>
        <w:t>The Participant may communicate to the other Parties any information which it considers useful for the Project or the valorization of the Foreground.</w:t>
      </w:r>
    </w:p>
    <w:p w14:paraId="463950E2" w14:textId="77777777" w:rsidR="00244FE8" w:rsidRDefault="00244FE8" w:rsidP="00244FE8">
      <w:pPr>
        <w:spacing w:after="0" w:line="240" w:lineRule="auto"/>
        <w:jc w:val="both"/>
        <w:rPr>
          <w:rFonts w:ascii="Calibri" w:eastAsia="Times New Roman" w:hAnsi="Calibri" w:cs="Calibri"/>
          <w:sz w:val="20"/>
          <w:szCs w:val="20"/>
          <w:lang w:val="en-US"/>
        </w:rPr>
      </w:pPr>
    </w:p>
    <w:p w14:paraId="1FE0C76B" w14:textId="77777777" w:rsidR="00244FE8" w:rsidRDefault="00244FE8" w:rsidP="00244FE8">
      <w:pPr>
        <w:spacing w:after="0" w:line="240" w:lineRule="auto"/>
        <w:jc w:val="both"/>
        <w:rPr>
          <w:rFonts w:ascii="Calibri" w:eastAsia="Times New Roman" w:hAnsi="Calibri" w:cs="Calibri"/>
          <w:sz w:val="20"/>
          <w:szCs w:val="20"/>
          <w:lang w:val="en-US"/>
        </w:rPr>
      </w:pPr>
    </w:p>
    <w:p w14:paraId="0D4F1B22" w14:textId="77777777" w:rsidR="00244FE8" w:rsidRPr="00863716" w:rsidRDefault="00244FE8" w:rsidP="00244FE8">
      <w:pPr>
        <w:spacing w:after="0" w:line="240" w:lineRule="auto"/>
        <w:jc w:val="both"/>
        <w:rPr>
          <w:rFonts w:ascii="Calibri" w:eastAsia="Times New Roman" w:hAnsi="Calibri" w:cs="Calibri"/>
          <w:sz w:val="20"/>
          <w:szCs w:val="20"/>
          <w:lang w:val="en-US"/>
        </w:rPr>
      </w:pPr>
    </w:p>
    <w:p w14:paraId="2ED090DD" w14:textId="77777777" w:rsidR="00244FE8" w:rsidRPr="00863716" w:rsidRDefault="00244FE8" w:rsidP="00244FE8">
      <w:pPr>
        <w:numPr>
          <w:ilvl w:val="0"/>
          <w:numId w:val="20"/>
        </w:numPr>
        <w:spacing w:after="0" w:line="240" w:lineRule="auto"/>
        <w:ind w:left="426" w:hanging="426"/>
        <w:jc w:val="both"/>
        <w:rPr>
          <w:rFonts w:ascii="Calibri" w:eastAsia="SimSun" w:hAnsi="Calibri" w:cs="Calibri"/>
          <w:b/>
          <w:caps/>
          <w:spacing w:val="-3"/>
          <w:sz w:val="20"/>
          <w:szCs w:val="20"/>
          <w:lang w:val="en-US" w:eastAsia="fi-FI"/>
        </w:rPr>
      </w:pPr>
      <w:r w:rsidRPr="00863716">
        <w:rPr>
          <w:rFonts w:ascii="Calibri" w:eastAsia="SimSun" w:hAnsi="Calibri" w:cs="Calibri"/>
          <w:b/>
          <w:caps/>
          <w:spacing w:val="-3"/>
          <w:sz w:val="20"/>
          <w:szCs w:val="20"/>
          <w:lang w:val="en-US" w:eastAsia="fi-FI"/>
        </w:rPr>
        <w:lastRenderedPageBreak/>
        <w:t>Advisory Board MEETINGS</w:t>
      </w:r>
    </w:p>
    <w:p w14:paraId="125239E4" w14:textId="77777777" w:rsidR="00244FE8" w:rsidRPr="00863716" w:rsidRDefault="00244FE8" w:rsidP="00244FE8">
      <w:pPr>
        <w:spacing w:after="0" w:line="240" w:lineRule="auto"/>
        <w:jc w:val="both"/>
        <w:rPr>
          <w:rFonts w:ascii="Calibri" w:eastAsia="Times New Roman" w:hAnsi="Calibri" w:cs="Calibri"/>
          <w:b/>
          <w:sz w:val="20"/>
          <w:szCs w:val="20"/>
          <w:lang w:val="en-US"/>
        </w:rPr>
      </w:pPr>
    </w:p>
    <w:p w14:paraId="77839DDE"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2.1</w:t>
      </w:r>
      <w:r w:rsidRPr="00863716">
        <w:rPr>
          <w:rFonts w:ascii="Calibri" w:eastAsia="Times New Roman" w:hAnsi="Calibri" w:cs="Calibri"/>
          <w:sz w:val="20"/>
          <w:szCs w:val="20"/>
          <w:lang w:val="en-US"/>
        </w:rPr>
        <w:tab/>
        <w:t xml:space="preserve">The Coordinator will convene the Advisory Board at least once per year during the course of the Project. At least thirty (30) days prior to the meeting, each Party will receive an invitation including the agenda. </w:t>
      </w:r>
    </w:p>
    <w:p w14:paraId="0F4C36C7"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p>
    <w:p w14:paraId="79DE1DC5"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r w:rsidRPr="00863716">
        <w:rPr>
          <w:rFonts w:ascii="Calibri" w:eastAsia="Times New Roman" w:hAnsi="Calibri" w:cs="Calibri"/>
          <w:sz w:val="20"/>
          <w:szCs w:val="20"/>
          <w:lang w:val="gd-GB"/>
        </w:rPr>
        <w:t>2.2</w:t>
      </w:r>
      <w:r w:rsidRPr="00863716">
        <w:rPr>
          <w:rFonts w:ascii="Calibri" w:eastAsia="Times New Roman" w:hAnsi="Calibri" w:cs="Calibri"/>
          <w:sz w:val="20"/>
          <w:szCs w:val="20"/>
          <w:lang w:val="gd-GB"/>
        </w:rPr>
        <w:tab/>
        <w:t xml:space="preserve">The following persons will attend the meetings of the </w:t>
      </w:r>
      <w:r w:rsidRPr="00863716">
        <w:rPr>
          <w:rFonts w:ascii="Calibri" w:eastAsia="Times New Roman" w:hAnsi="Calibri" w:cs="Calibri"/>
          <w:sz w:val="20"/>
          <w:szCs w:val="20"/>
          <w:lang w:val="en-US"/>
        </w:rPr>
        <w:t>Advisory Board</w:t>
      </w:r>
      <w:r w:rsidRPr="00863716">
        <w:rPr>
          <w:rFonts w:ascii="Calibri" w:eastAsia="Times New Roman" w:hAnsi="Calibri" w:cs="Calibri"/>
          <w:sz w:val="20"/>
          <w:szCs w:val="20"/>
          <w:lang w:val="gd-GB"/>
        </w:rPr>
        <w:t>:</w:t>
      </w:r>
    </w:p>
    <w:p w14:paraId="59291895" w14:textId="77777777" w:rsidR="00244FE8" w:rsidRPr="00863716" w:rsidRDefault="00244FE8" w:rsidP="00244FE8">
      <w:pPr>
        <w:numPr>
          <w:ilvl w:val="0"/>
          <w:numId w:val="21"/>
        </w:numPr>
        <w:snapToGrid w:val="0"/>
        <w:spacing w:after="0" w:line="240" w:lineRule="auto"/>
        <w:ind w:left="851" w:hanging="425"/>
        <w:contextualSpacing/>
        <w:jc w:val="both"/>
        <w:rPr>
          <w:rFonts w:ascii="Calibri" w:eastAsia="Times New Roman" w:hAnsi="Calibri" w:cs="Calibri"/>
          <w:snapToGrid w:val="0"/>
          <w:sz w:val="20"/>
          <w:szCs w:val="20"/>
          <w:lang w:val="fr-FR" w:eastAsia="fr-FR"/>
        </w:rPr>
      </w:pPr>
      <w:r w:rsidRPr="00863716">
        <w:rPr>
          <w:rFonts w:ascii="Calibri" w:eastAsia="Times New Roman" w:hAnsi="Calibri" w:cs="Calibri"/>
          <w:snapToGrid w:val="0"/>
          <w:sz w:val="20"/>
          <w:szCs w:val="20"/>
          <w:lang w:val="gd-GB" w:eastAsia="fr-FR"/>
        </w:rPr>
        <w:t>Representatives of the Participants</w:t>
      </w:r>
    </w:p>
    <w:p w14:paraId="18A0FC73" w14:textId="77777777" w:rsidR="00244FE8" w:rsidRPr="00863716" w:rsidRDefault="00244FE8" w:rsidP="00244FE8">
      <w:pPr>
        <w:numPr>
          <w:ilvl w:val="0"/>
          <w:numId w:val="21"/>
        </w:numPr>
        <w:snapToGrid w:val="0"/>
        <w:spacing w:after="0" w:line="240" w:lineRule="auto"/>
        <w:ind w:left="851" w:hanging="425"/>
        <w:contextualSpacing/>
        <w:jc w:val="both"/>
        <w:rPr>
          <w:rFonts w:ascii="Calibri" w:eastAsia="Times New Roman" w:hAnsi="Calibri" w:cs="Calibri"/>
          <w:snapToGrid w:val="0"/>
          <w:sz w:val="20"/>
          <w:szCs w:val="20"/>
          <w:lang w:val="fr-FR" w:eastAsia="fr-FR"/>
        </w:rPr>
      </w:pPr>
      <w:r w:rsidRPr="00863716">
        <w:rPr>
          <w:rFonts w:ascii="Calibri" w:eastAsia="Times New Roman" w:hAnsi="Calibri" w:cs="Calibri"/>
          <w:snapToGrid w:val="0"/>
          <w:sz w:val="20"/>
          <w:szCs w:val="20"/>
          <w:lang w:val="gd-GB" w:eastAsia="fr-FR"/>
        </w:rPr>
        <w:t xml:space="preserve">Representatives of the Institutions </w:t>
      </w:r>
    </w:p>
    <w:p w14:paraId="730185F7" w14:textId="77777777" w:rsidR="00244FE8" w:rsidRPr="00863716" w:rsidRDefault="00244FE8" w:rsidP="00244FE8">
      <w:pPr>
        <w:numPr>
          <w:ilvl w:val="0"/>
          <w:numId w:val="21"/>
        </w:numPr>
        <w:snapToGrid w:val="0"/>
        <w:spacing w:after="0" w:line="240" w:lineRule="auto"/>
        <w:ind w:left="851" w:hanging="425"/>
        <w:contextualSpacing/>
        <w:jc w:val="both"/>
        <w:rPr>
          <w:rFonts w:ascii="Calibri" w:eastAsia="Times New Roman" w:hAnsi="Calibri" w:cs="Calibri"/>
          <w:snapToGrid w:val="0"/>
          <w:sz w:val="20"/>
          <w:szCs w:val="20"/>
          <w:lang w:val="en-US" w:eastAsia="fr-FR"/>
        </w:rPr>
      </w:pPr>
      <w:r w:rsidRPr="00863716">
        <w:rPr>
          <w:rFonts w:ascii="Calibri" w:eastAsia="Times New Roman" w:hAnsi="Calibri" w:cs="Calibri"/>
          <w:snapToGrid w:val="0"/>
          <w:sz w:val="20"/>
          <w:szCs w:val="20"/>
          <w:lang w:val="gd-GB" w:eastAsia="fr-FR"/>
        </w:rPr>
        <w:t>Representatives of Catalisti (including representatives of Catalisti’s scientific advisory board (WAR) and governance board) and</w:t>
      </w:r>
      <w:r>
        <w:rPr>
          <w:rFonts w:ascii="Calibri" w:eastAsia="Times New Roman" w:hAnsi="Calibri" w:cs="Calibri"/>
          <w:snapToGrid w:val="0"/>
          <w:sz w:val="20"/>
          <w:szCs w:val="20"/>
          <w:lang w:val="gd-GB" w:eastAsia="fr-FR"/>
        </w:rPr>
        <w:t>/or</w:t>
      </w:r>
      <w:r w:rsidRPr="00863716">
        <w:rPr>
          <w:rFonts w:ascii="Calibri" w:eastAsia="Times New Roman" w:hAnsi="Calibri" w:cs="Calibri"/>
          <w:snapToGrid w:val="0"/>
          <w:sz w:val="20"/>
          <w:szCs w:val="20"/>
          <w:lang w:val="gd-GB" w:eastAsia="fr-FR"/>
        </w:rPr>
        <w:t xml:space="preserve"> VLAIO</w:t>
      </w:r>
    </w:p>
    <w:p w14:paraId="1C7D4BCB"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p>
    <w:p w14:paraId="0DD1765A"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gd-GB"/>
        </w:rPr>
      </w:pPr>
      <w:r w:rsidRPr="00863716">
        <w:rPr>
          <w:rFonts w:ascii="Calibri" w:eastAsia="Times New Roman" w:hAnsi="Calibri" w:cs="Calibri"/>
          <w:sz w:val="20"/>
          <w:szCs w:val="20"/>
          <w:lang w:val="en-US"/>
        </w:rPr>
        <w:t>2.3</w:t>
      </w:r>
      <w:r w:rsidRPr="00863716">
        <w:rPr>
          <w:rFonts w:ascii="Calibri" w:eastAsia="Times New Roman" w:hAnsi="Calibri" w:cs="Calibri"/>
          <w:sz w:val="20"/>
          <w:szCs w:val="20"/>
          <w:lang w:val="en-US"/>
        </w:rPr>
        <w:tab/>
      </w:r>
      <w:r w:rsidRPr="00863716">
        <w:rPr>
          <w:rFonts w:ascii="Calibri" w:eastAsia="Times New Roman" w:hAnsi="Calibri" w:cs="Calibri"/>
          <w:sz w:val="20"/>
          <w:szCs w:val="20"/>
          <w:lang w:val="gd-GB"/>
        </w:rPr>
        <w:t xml:space="preserve">The Project manager appointed by the Coordinator will chair all meetings of the </w:t>
      </w:r>
      <w:r w:rsidRPr="00863716">
        <w:rPr>
          <w:rFonts w:ascii="Calibri" w:eastAsia="Times New Roman" w:hAnsi="Calibri" w:cs="Calibri"/>
          <w:sz w:val="20"/>
          <w:szCs w:val="20"/>
          <w:lang w:val="en-US"/>
        </w:rPr>
        <w:t>Advisory Board</w:t>
      </w:r>
      <w:r w:rsidRPr="00863716">
        <w:rPr>
          <w:rFonts w:ascii="Calibri" w:eastAsia="Times New Roman" w:hAnsi="Calibri" w:cs="Calibri"/>
          <w:sz w:val="20"/>
          <w:szCs w:val="20"/>
          <w:lang w:val="gd-GB"/>
        </w:rPr>
        <w:t xml:space="preserve"> and will produce written minutes of each meeting. Draft minutes will be sent to the other Parties within ten calendar days of the meeting. The minutes will be considered as accepted if, within fourteen calendar days from sending, no recipient has objected in writing to the Project manager with respect to the accuracy of the draft of the minutes.</w:t>
      </w:r>
    </w:p>
    <w:p w14:paraId="37B618BD"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gd-GB"/>
        </w:rPr>
      </w:pPr>
    </w:p>
    <w:p w14:paraId="5FDFCD6B" w14:textId="77777777" w:rsidR="00244FE8" w:rsidRPr="00863716" w:rsidRDefault="00244FE8" w:rsidP="00244FE8">
      <w:pPr>
        <w:numPr>
          <w:ilvl w:val="0"/>
          <w:numId w:val="20"/>
        </w:numPr>
        <w:spacing w:after="0" w:line="240" w:lineRule="auto"/>
        <w:ind w:left="426" w:hanging="426"/>
        <w:jc w:val="both"/>
        <w:rPr>
          <w:rFonts w:ascii="Calibri" w:eastAsia="SimSun" w:hAnsi="Calibri" w:cs="Calibri"/>
          <w:b/>
          <w:caps/>
          <w:spacing w:val="-3"/>
          <w:sz w:val="20"/>
          <w:szCs w:val="20"/>
          <w:lang w:val="en-US" w:eastAsia="fi-FI"/>
        </w:rPr>
      </w:pPr>
      <w:r w:rsidRPr="00863716">
        <w:rPr>
          <w:rFonts w:ascii="Calibri" w:eastAsia="SimSun" w:hAnsi="Calibri" w:cs="Calibri"/>
          <w:b/>
          <w:caps/>
          <w:spacing w:val="-3"/>
          <w:sz w:val="20"/>
          <w:szCs w:val="20"/>
          <w:lang w:val="en-US" w:eastAsia="fi-FI"/>
        </w:rPr>
        <w:t>CONFIDENTIALITY</w:t>
      </w:r>
    </w:p>
    <w:p w14:paraId="27D87C02" w14:textId="77777777" w:rsidR="00244FE8" w:rsidRPr="00863716" w:rsidRDefault="00244FE8" w:rsidP="00244FE8">
      <w:pPr>
        <w:spacing w:after="0" w:line="240" w:lineRule="auto"/>
        <w:jc w:val="both"/>
        <w:rPr>
          <w:rFonts w:ascii="Calibri" w:eastAsia="Times New Roman" w:hAnsi="Calibri" w:cs="Calibri"/>
          <w:sz w:val="20"/>
          <w:szCs w:val="20"/>
          <w:lang w:val="en-US"/>
        </w:rPr>
      </w:pPr>
    </w:p>
    <w:p w14:paraId="371A0F0D"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3.1</w:t>
      </w:r>
      <w:r w:rsidRPr="00863716">
        <w:rPr>
          <w:rFonts w:ascii="Calibri" w:eastAsia="Times New Roman" w:hAnsi="Calibri" w:cs="Calibri"/>
          <w:sz w:val="20"/>
          <w:szCs w:val="20"/>
          <w:lang w:val="en-US"/>
        </w:rPr>
        <w:tab/>
        <w:t>“</w:t>
      </w:r>
      <w:r w:rsidRPr="00863716">
        <w:rPr>
          <w:rFonts w:ascii="Calibri" w:eastAsia="Times New Roman" w:hAnsi="Calibri" w:cs="Calibri"/>
          <w:b/>
          <w:sz w:val="20"/>
          <w:szCs w:val="20"/>
          <w:lang w:val="en-US"/>
        </w:rPr>
        <w:t>Confidential Information</w:t>
      </w:r>
      <w:r w:rsidRPr="00863716">
        <w:rPr>
          <w:rFonts w:ascii="Calibri" w:eastAsia="Times New Roman" w:hAnsi="Calibri" w:cs="Calibri"/>
          <w:sz w:val="20"/>
          <w:szCs w:val="20"/>
          <w:lang w:val="en-US"/>
        </w:rPr>
        <w:t>” means any information that is disclosed or made available by a Party to another Party in connection with the Project (i) which, when communicated in written form, is clearly marked as ‘confidential information’, or (ii) which is confirmed in writing to be confidential information within fourteen (14) calendar days following its oral communication; or (iii) that is clearly to be considered confidential in view of the nature of the information</w:t>
      </w:r>
      <w:r w:rsidRPr="00896217">
        <w:rPr>
          <w:rFonts w:ascii="Calibri" w:eastAsia="Times New Roman" w:hAnsi="Calibri" w:cs="Calibri"/>
          <w:sz w:val="20"/>
          <w:szCs w:val="20"/>
          <w:lang w:val="en-US"/>
        </w:rPr>
        <w:t xml:space="preserve"> and the manner in which it was communicated</w:t>
      </w:r>
      <w:r w:rsidRPr="00863716">
        <w:rPr>
          <w:rFonts w:ascii="Calibri" w:eastAsia="Times New Roman" w:hAnsi="Calibri" w:cs="Calibri"/>
          <w:sz w:val="20"/>
          <w:szCs w:val="20"/>
          <w:lang w:val="en-US"/>
        </w:rPr>
        <w:t>. The minutes of the Advisory Board meetings may reflect Confidential Information of several Parties and will be treated accordingly. Without prejudice to the foregoing, Foreground will always qualify as Confidential Information, even if it would not have been marked as ‘confidential information’.</w:t>
      </w:r>
    </w:p>
    <w:p w14:paraId="7DC033A5"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p>
    <w:p w14:paraId="518A3D8C"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3.2</w:t>
      </w:r>
      <w:r w:rsidRPr="00863716">
        <w:rPr>
          <w:rFonts w:ascii="Calibri" w:eastAsia="Times New Roman" w:hAnsi="Calibri" w:cs="Calibri"/>
          <w:sz w:val="20"/>
          <w:szCs w:val="20"/>
          <w:lang w:val="en-US"/>
        </w:rPr>
        <w:tab/>
        <w:t>The Participant accepts the other Parties’ Confidential Information only to perform its role in the Advisory Board (the “</w:t>
      </w:r>
      <w:r w:rsidRPr="00863716">
        <w:rPr>
          <w:rFonts w:ascii="Calibri" w:eastAsia="Times New Roman" w:hAnsi="Calibri" w:cs="Calibri"/>
          <w:b/>
          <w:sz w:val="20"/>
          <w:szCs w:val="20"/>
          <w:lang w:val="en-US"/>
        </w:rPr>
        <w:t>Purpose</w:t>
      </w:r>
      <w:r w:rsidRPr="00863716">
        <w:rPr>
          <w:rFonts w:ascii="Calibri" w:eastAsia="Times New Roman" w:hAnsi="Calibri" w:cs="Calibri"/>
          <w:sz w:val="20"/>
          <w:szCs w:val="20"/>
          <w:lang w:val="en-US"/>
        </w:rPr>
        <w:t>”) and shall keep such Confidential Information strictly confidential. Without the disclosing Party’s prior written approval, the Participant shall not</w:t>
      </w:r>
    </w:p>
    <w:p w14:paraId="3F680065" w14:textId="77777777" w:rsidR="00244FE8" w:rsidRPr="00863716" w:rsidRDefault="00244FE8" w:rsidP="00244FE8">
      <w:pPr>
        <w:spacing w:after="0" w:line="240" w:lineRule="auto"/>
        <w:ind w:left="851" w:hanging="425"/>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a)</w:t>
      </w:r>
      <w:r w:rsidRPr="00863716">
        <w:rPr>
          <w:rFonts w:ascii="Calibri" w:eastAsia="Times New Roman" w:hAnsi="Calibri" w:cs="Calibri"/>
          <w:sz w:val="20"/>
          <w:szCs w:val="20"/>
          <w:lang w:val="en-US"/>
        </w:rPr>
        <w:tab/>
        <w:t xml:space="preserve">use such Party’s Confidential Information for any purpose other than the Purpose; or </w:t>
      </w:r>
    </w:p>
    <w:p w14:paraId="13E4090C" w14:textId="77777777" w:rsidR="00244FE8" w:rsidRPr="00863716" w:rsidRDefault="00244FE8" w:rsidP="00244FE8">
      <w:pPr>
        <w:spacing w:after="0" w:line="240" w:lineRule="auto"/>
        <w:ind w:left="851" w:hanging="425"/>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b)</w:t>
      </w:r>
      <w:r w:rsidRPr="00863716">
        <w:rPr>
          <w:rFonts w:ascii="Calibri" w:eastAsia="Times New Roman" w:hAnsi="Calibri" w:cs="Calibri"/>
          <w:sz w:val="20"/>
          <w:szCs w:val="20"/>
          <w:lang w:val="en-US"/>
        </w:rPr>
        <w:tab/>
        <w:t>publish or otherwise disclose or transfer to any third party in any form whatsoever such Party’s Confidential Information.</w:t>
      </w:r>
    </w:p>
    <w:p w14:paraId="2E3BC97B"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p>
    <w:p w14:paraId="46AD4F65"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3.3</w:t>
      </w:r>
      <w:r w:rsidRPr="00863716">
        <w:rPr>
          <w:rFonts w:ascii="Calibri" w:eastAsia="Times New Roman" w:hAnsi="Calibri" w:cs="Calibri"/>
          <w:sz w:val="20"/>
          <w:szCs w:val="20"/>
          <w:lang w:val="en-US"/>
        </w:rPr>
        <w:tab/>
        <w:t>The Participant may disclose another Party’s Confidential Information to its representatives, employees, staff members and consultants and those of its Affiliates (jointly “</w:t>
      </w:r>
      <w:r w:rsidRPr="00863716">
        <w:rPr>
          <w:rFonts w:ascii="Calibri" w:eastAsia="Times New Roman" w:hAnsi="Calibri" w:cs="Calibri"/>
          <w:b/>
          <w:sz w:val="20"/>
          <w:szCs w:val="20"/>
          <w:lang w:val="en-US"/>
        </w:rPr>
        <w:t>Staff</w:t>
      </w:r>
      <w:r w:rsidRPr="00863716">
        <w:rPr>
          <w:rFonts w:ascii="Calibri" w:eastAsia="Times New Roman" w:hAnsi="Calibri" w:cs="Calibri"/>
          <w:sz w:val="20"/>
          <w:szCs w:val="20"/>
          <w:lang w:val="en-US"/>
        </w:rPr>
        <w:t>”) only for the Purpose and on a strict need to know basis. “</w:t>
      </w:r>
      <w:r w:rsidRPr="00863716">
        <w:rPr>
          <w:rFonts w:ascii="Calibri" w:eastAsia="Times New Roman" w:hAnsi="Calibri" w:cs="Calibri"/>
          <w:b/>
          <w:sz w:val="20"/>
          <w:szCs w:val="20"/>
          <w:lang w:val="en-US"/>
        </w:rPr>
        <w:t>Affiliate</w:t>
      </w:r>
      <w:r w:rsidRPr="00863716">
        <w:rPr>
          <w:rFonts w:ascii="Calibri" w:eastAsia="Times New Roman" w:hAnsi="Calibri" w:cs="Calibri"/>
          <w:sz w:val="20"/>
          <w:szCs w:val="20"/>
          <w:lang w:val="en-US"/>
        </w:rPr>
        <w:t xml:space="preserve">” means any undertaking which is, on or after the date hereof from time to time, an affiliate as this term is defined in section 1:20 of the Belgian Companies and Associations Code. The Participant shall fully inform all such Staff of the terms and conditions contained herein and will ensure they are bound by confidentiality terms which are at least as stringent as those contained herein. </w:t>
      </w:r>
    </w:p>
    <w:p w14:paraId="01CBBC1F"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p>
    <w:p w14:paraId="7FFCB059"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3.4</w:t>
      </w:r>
      <w:r w:rsidRPr="00863716">
        <w:rPr>
          <w:rFonts w:ascii="Calibri" w:eastAsia="Times New Roman" w:hAnsi="Calibri" w:cs="Calibri"/>
          <w:sz w:val="20"/>
          <w:szCs w:val="20"/>
          <w:lang w:val="en-US"/>
        </w:rPr>
        <w:tab/>
        <w:t>Notwithstanding the above, the Participant shall have no obligation hereunder to refrain from disclosing or using Confidential Information for which it can reasonably prove that:</w:t>
      </w:r>
    </w:p>
    <w:p w14:paraId="1C06444B" w14:textId="77777777" w:rsidR="00244FE8" w:rsidRPr="00863716" w:rsidRDefault="00244FE8" w:rsidP="00244FE8">
      <w:pPr>
        <w:spacing w:after="0" w:line="240" w:lineRule="auto"/>
        <w:ind w:left="851" w:hanging="425"/>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a)</w:t>
      </w:r>
      <w:r w:rsidRPr="00863716">
        <w:rPr>
          <w:rFonts w:ascii="Calibri" w:eastAsia="Times New Roman" w:hAnsi="Calibri" w:cs="Calibri"/>
          <w:sz w:val="20"/>
          <w:szCs w:val="20"/>
          <w:lang w:val="en-US"/>
        </w:rPr>
        <w:tab/>
        <w:t>it is generally available to the public at the time of its disclosure by the disclosing Party;</w:t>
      </w:r>
    </w:p>
    <w:p w14:paraId="3776A253" w14:textId="77777777" w:rsidR="00244FE8" w:rsidRPr="00863716" w:rsidRDefault="00244FE8" w:rsidP="00244FE8">
      <w:pPr>
        <w:spacing w:after="0" w:line="240" w:lineRule="auto"/>
        <w:ind w:left="851" w:hanging="425"/>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b)</w:t>
      </w:r>
      <w:r w:rsidRPr="00863716">
        <w:rPr>
          <w:rFonts w:ascii="Calibri" w:eastAsia="Times New Roman" w:hAnsi="Calibri" w:cs="Calibri"/>
          <w:sz w:val="20"/>
          <w:szCs w:val="20"/>
          <w:lang w:val="en-US"/>
        </w:rPr>
        <w:tab/>
        <w:t>it became publicly known not due to any unauthorized act or omission on the part of the Participant;</w:t>
      </w:r>
    </w:p>
    <w:p w14:paraId="5D3E2304" w14:textId="77777777" w:rsidR="00244FE8" w:rsidRPr="00863716" w:rsidRDefault="00244FE8" w:rsidP="00244FE8">
      <w:pPr>
        <w:spacing w:after="0" w:line="240" w:lineRule="auto"/>
        <w:ind w:left="851" w:hanging="425"/>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c)</w:t>
      </w:r>
      <w:r w:rsidRPr="00863716">
        <w:rPr>
          <w:rFonts w:ascii="Calibri" w:eastAsia="Times New Roman" w:hAnsi="Calibri" w:cs="Calibri"/>
          <w:sz w:val="20"/>
          <w:szCs w:val="20"/>
          <w:lang w:val="en-US"/>
        </w:rPr>
        <w:tab/>
        <w:t xml:space="preserve">it was disclosed to the Participant by a third party </w:t>
      </w:r>
      <w:r>
        <w:rPr>
          <w:rFonts w:ascii="Calibri" w:eastAsia="Times New Roman" w:hAnsi="Calibri" w:cs="Calibri"/>
          <w:sz w:val="20"/>
          <w:szCs w:val="20"/>
          <w:lang w:val="en-US"/>
        </w:rPr>
        <w:t>on a non-confidential basis</w:t>
      </w:r>
      <w:r w:rsidRPr="00863716">
        <w:rPr>
          <w:rFonts w:ascii="Calibri" w:eastAsia="Times New Roman" w:hAnsi="Calibri" w:cs="Calibri"/>
          <w:sz w:val="20"/>
          <w:szCs w:val="20"/>
          <w:lang w:val="en-US"/>
        </w:rPr>
        <w:t xml:space="preserve">; </w:t>
      </w:r>
      <w:r w:rsidRPr="00863716">
        <w:rPr>
          <w:rFonts w:ascii="Calibri" w:eastAsia="Times New Roman" w:hAnsi="Calibri" w:cs="Calibri"/>
          <w:sz w:val="20"/>
          <w:szCs w:val="20"/>
          <w:lang w:val="en-US"/>
        </w:rPr>
        <w:tab/>
      </w:r>
    </w:p>
    <w:p w14:paraId="33D23AA1" w14:textId="77777777" w:rsidR="00244FE8" w:rsidRPr="00863716" w:rsidRDefault="00244FE8" w:rsidP="00244FE8">
      <w:pPr>
        <w:spacing w:after="0" w:line="240" w:lineRule="auto"/>
        <w:ind w:left="851" w:hanging="425"/>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d)</w:t>
      </w:r>
      <w:r w:rsidRPr="00863716">
        <w:rPr>
          <w:rFonts w:ascii="Calibri" w:eastAsia="Times New Roman" w:hAnsi="Calibri" w:cs="Calibri"/>
          <w:sz w:val="20"/>
          <w:szCs w:val="20"/>
          <w:lang w:val="en-US"/>
        </w:rPr>
        <w:tab/>
        <w:t>it was at the time of first disclosure by the disclosing Party already known to the Participant;</w:t>
      </w:r>
      <w:r>
        <w:rPr>
          <w:rFonts w:ascii="Calibri" w:eastAsia="Times New Roman" w:hAnsi="Calibri" w:cs="Calibri"/>
          <w:sz w:val="20"/>
          <w:szCs w:val="20"/>
          <w:lang w:val="en-US"/>
        </w:rPr>
        <w:t xml:space="preserve"> </w:t>
      </w:r>
      <w:r w:rsidRPr="00863716">
        <w:rPr>
          <w:rFonts w:ascii="Calibri" w:eastAsia="Times New Roman" w:hAnsi="Calibri" w:cs="Calibri"/>
          <w:sz w:val="20"/>
          <w:szCs w:val="20"/>
          <w:lang w:val="en-US"/>
        </w:rPr>
        <w:t>or</w:t>
      </w:r>
    </w:p>
    <w:p w14:paraId="231FF4BA" w14:textId="77777777" w:rsidR="00244FE8" w:rsidRPr="00863716" w:rsidRDefault="00244FE8" w:rsidP="00244FE8">
      <w:pPr>
        <w:spacing w:after="0" w:line="240" w:lineRule="auto"/>
        <w:ind w:left="851" w:hanging="425"/>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e)</w:t>
      </w:r>
      <w:r w:rsidRPr="00863716">
        <w:rPr>
          <w:rFonts w:ascii="Calibri" w:eastAsia="Times New Roman" w:hAnsi="Calibri" w:cs="Calibri"/>
          <w:sz w:val="20"/>
          <w:szCs w:val="20"/>
          <w:lang w:val="en-US"/>
        </w:rPr>
        <w:tab/>
        <w:t>it is subsequently developed by the Participant completely independent from any of disclosing Party’s Confidential Information</w:t>
      </w:r>
      <w:r>
        <w:rPr>
          <w:rFonts w:ascii="Calibri" w:eastAsia="Times New Roman" w:hAnsi="Calibri" w:cs="Calibri"/>
          <w:sz w:val="20"/>
          <w:szCs w:val="20"/>
          <w:lang w:val="en-US"/>
        </w:rPr>
        <w:t>.</w:t>
      </w:r>
    </w:p>
    <w:p w14:paraId="1BFC4CED"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p>
    <w:p w14:paraId="391FF345"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3.5</w:t>
      </w:r>
      <w:r w:rsidRPr="00863716">
        <w:rPr>
          <w:rFonts w:ascii="Calibri" w:eastAsia="Times New Roman" w:hAnsi="Calibri" w:cs="Calibri"/>
          <w:sz w:val="20"/>
          <w:szCs w:val="20"/>
          <w:lang w:val="en-US"/>
        </w:rPr>
        <w:tab/>
        <w:t xml:space="preserve">The Participant may disclose another Party’s Confidential Information to the extent required by any applicable federal, state or local law or regulation or an order, rule or decree of any court, government or regulatory body of competent jurisdiction (including any securities commission or stock exchange on which the securities of the Participant or its Affiliates are listed), provided the Participant has, to the extent it is legally not prohibited to do, given that other Party prior written notice of such required disclosure and, to the extent reasonably possible, has given that other Party an opportunity to contest such required </w:t>
      </w:r>
      <w:r w:rsidRPr="00863716">
        <w:rPr>
          <w:rFonts w:ascii="Calibri" w:eastAsia="Times New Roman" w:hAnsi="Calibri" w:cs="Calibri"/>
          <w:sz w:val="20"/>
          <w:szCs w:val="20"/>
          <w:lang w:val="en-US"/>
        </w:rPr>
        <w:lastRenderedPageBreak/>
        <w:t>disclosure, including (but not limited) by seeking a protective order or other appropriate remedy to prevent or limit such disclosure, at that other Party’s direction and expense.</w:t>
      </w:r>
    </w:p>
    <w:p w14:paraId="19C4695F"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p>
    <w:p w14:paraId="1F0B2A0B"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3.6</w:t>
      </w:r>
      <w:r w:rsidRPr="00863716">
        <w:rPr>
          <w:rFonts w:ascii="Calibri" w:eastAsia="Times New Roman" w:hAnsi="Calibri" w:cs="Calibri"/>
          <w:sz w:val="20"/>
          <w:szCs w:val="20"/>
          <w:lang w:val="en-US"/>
        </w:rPr>
        <w:tab/>
        <w:t>The Participant agrees that all Confidential Information is provided by the other Parties “as is” and no warranties are given with respect to such Confidential Information, including, but not limited to, accuracy, correctness or non-infringement. The Participant shall be solely responsible for its use of Confidential Information hereunder and the other Parties shall not be liable to the Participant for any damages incurred by it in connection therewith.</w:t>
      </w:r>
    </w:p>
    <w:p w14:paraId="0A58BB3F"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p>
    <w:p w14:paraId="09140BCC"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3.7</w:t>
      </w:r>
      <w:r w:rsidRPr="00863716">
        <w:rPr>
          <w:rFonts w:ascii="Calibri" w:eastAsia="Times New Roman" w:hAnsi="Calibri" w:cs="Calibri"/>
          <w:sz w:val="20"/>
          <w:szCs w:val="20"/>
          <w:lang w:val="en-US"/>
        </w:rPr>
        <w:tab/>
        <w:t>The receipt of Confidential Information shall not be construed as granting, or as an undertaking to subsequently grant, to any Party any license, right, title or interest in or to that Confidential Information or any present or future intellectual proprietary rights a Party may have with respect to that Confidential Information.</w:t>
      </w:r>
    </w:p>
    <w:p w14:paraId="61155584"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p>
    <w:p w14:paraId="0A7EA2F1"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3.8</w:t>
      </w:r>
      <w:r w:rsidRPr="00863716">
        <w:rPr>
          <w:rFonts w:ascii="Calibri" w:eastAsia="Times New Roman" w:hAnsi="Calibri" w:cs="Calibri"/>
          <w:sz w:val="20"/>
          <w:szCs w:val="20"/>
          <w:lang w:val="en-US"/>
        </w:rPr>
        <w:tab/>
        <w:t>Within thirty calendar days after a disclosing Party’s written request, the Participant will return to the disclosing Party all originals, reproductions and summaries of the disclosing Party’s Confidential Information or, at the disclosing Party’s sole option, destroy the same and provide written certification thereof. The Participant shall not be obligated to erase Confidential Information that is contained in an archived computer system backup that was made in accordance with the Participant's security and/or disaster recovery procedures. Notwithstanding the foregoing to the contrary, the Participant may retain one archival copy of the Confidential Information for its own records to determine its obligation hereunder, internal auditing or legal purposes on a confidential basis in accordance with this ABA Form.</w:t>
      </w:r>
    </w:p>
    <w:p w14:paraId="373D9FF0"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p>
    <w:p w14:paraId="522D905B"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3.9</w:t>
      </w:r>
      <w:r w:rsidRPr="00863716">
        <w:rPr>
          <w:rFonts w:ascii="Calibri" w:eastAsia="Times New Roman" w:hAnsi="Calibri" w:cs="Calibri"/>
          <w:sz w:val="20"/>
          <w:szCs w:val="20"/>
          <w:lang w:val="en-US"/>
        </w:rPr>
        <w:tab/>
        <w:t xml:space="preserve">The Participant shall respect the obligations of confidentiality and non-use set forth herein during the entire term of the Agreement and until </w:t>
      </w:r>
      <w:r w:rsidRPr="00863716">
        <w:rPr>
          <w:rFonts w:ascii="Calibri" w:eastAsia="Times New Roman" w:hAnsi="Calibri" w:cs="Calibri"/>
          <w:b/>
          <w:sz w:val="20"/>
          <w:szCs w:val="20"/>
          <w:lang w:val="en-US"/>
        </w:rPr>
        <w:t>five years</w:t>
      </w:r>
      <w:r w:rsidRPr="00863716">
        <w:rPr>
          <w:rFonts w:ascii="Calibri" w:eastAsia="Times New Roman" w:hAnsi="Calibri" w:cs="Calibri"/>
          <w:sz w:val="20"/>
          <w:szCs w:val="20"/>
          <w:lang w:val="en-US"/>
        </w:rPr>
        <w:t xml:space="preserve"> after its end.</w:t>
      </w:r>
    </w:p>
    <w:p w14:paraId="3907C88D" w14:textId="77777777" w:rsidR="00244FE8" w:rsidRPr="00863716" w:rsidRDefault="00244FE8" w:rsidP="00244FE8">
      <w:pPr>
        <w:spacing w:after="0" w:line="240" w:lineRule="auto"/>
        <w:jc w:val="both"/>
        <w:rPr>
          <w:rFonts w:ascii="Calibri" w:eastAsia="Times New Roman" w:hAnsi="Calibri" w:cs="Calibri"/>
          <w:sz w:val="20"/>
          <w:szCs w:val="20"/>
          <w:lang w:val="en-US"/>
        </w:rPr>
      </w:pPr>
    </w:p>
    <w:p w14:paraId="7AA5ACB9" w14:textId="77777777" w:rsidR="00244FE8" w:rsidRPr="00863716" w:rsidRDefault="00244FE8" w:rsidP="00244FE8">
      <w:pPr>
        <w:numPr>
          <w:ilvl w:val="0"/>
          <w:numId w:val="20"/>
        </w:numPr>
        <w:spacing w:after="0" w:line="240" w:lineRule="auto"/>
        <w:ind w:left="426" w:hanging="426"/>
        <w:jc w:val="both"/>
        <w:rPr>
          <w:rFonts w:ascii="Calibri" w:eastAsia="SimSun" w:hAnsi="Calibri" w:cs="Calibri"/>
          <w:b/>
          <w:caps/>
          <w:spacing w:val="-3"/>
          <w:sz w:val="20"/>
          <w:szCs w:val="20"/>
          <w:lang w:val="en-US" w:eastAsia="fi-FI"/>
        </w:rPr>
      </w:pPr>
      <w:r w:rsidRPr="00863716">
        <w:rPr>
          <w:rFonts w:ascii="Calibri" w:eastAsia="SimSun" w:hAnsi="Calibri" w:cs="Calibri"/>
          <w:b/>
          <w:caps/>
          <w:spacing w:val="-3"/>
          <w:sz w:val="20"/>
          <w:szCs w:val="20"/>
          <w:lang w:val="en-US" w:eastAsia="fi-FI"/>
        </w:rPr>
        <w:t>INTELLECTUAL PROPERTY</w:t>
      </w:r>
    </w:p>
    <w:p w14:paraId="40E03DCD" w14:textId="77777777" w:rsidR="00244FE8" w:rsidRPr="00863716" w:rsidRDefault="00244FE8" w:rsidP="00244FE8">
      <w:pPr>
        <w:spacing w:after="0" w:line="240" w:lineRule="auto"/>
        <w:jc w:val="both"/>
        <w:rPr>
          <w:rFonts w:ascii="Calibri" w:eastAsia="Times New Roman" w:hAnsi="Calibri" w:cs="Calibri"/>
          <w:sz w:val="20"/>
          <w:szCs w:val="20"/>
          <w:lang w:val="gd-GB"/>
        </w:rPr>
      </w:pPr>
    </w:p>
    <w:p w14:paraId="75AFC067"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r w:rsidRPr="00863716">
        <w:rPr>
          <w:rFonts w:ascii="Calibri" w:eastAsia="Times New Roman" w:hAnsi="Calibri" w:cs="Calibri"/>
          <w:sz w:val="20"/>
          <w:szCs w:val="20"/>
          <w:lang w:val="gd-GB"/>
        </w:rPr>
        <w:t>4.1</w:t>
      </w:r>
      <w:r w:rsidRPr="00863716">
        <w:rPr>
          <w:rFonts w:ascii="Calibri" w:eastAsia="Times New Roman" w:hAnsi="Calibri" w:cs="Calibri"/>
          <w:sz w:val="20"/>
          <w:szCs w:val="20"/>
          <w:lang w:val="gd-GB"/>
        </w:rPr>
        <w:tab/>
        <w:t xml:space="preserve">Except as may otherwise be set forth in a separate agreement between the relevant Parties, the Participant will not obtain any ownership or (option to) license rights to Foreground or background of the Institutions. The Institutions will own the Foreground in accordance with the provisions of the Agreement and may </w:t>
      </w:r>
      <w:r w:rsidRPr="00863716">
        <w:rPr>
          <w:rFonts w:ascii="Calibri" w:eastAsia="Times New Roman" w:hAnsi="Calibri" w:cs="Calibri"/>
          <w:sz w:val="20"/>
          <w:szCs w:val="20"/>
          <w:lang w:val="en-US"/>
        </w:rPr>
        <w:t xml:space="preserve">pursue intellectual property rights or publish such Foreground. </w:t>
      </w:r>
    </w:p>
    <w:p w14:paraId="727534F0" w14:textId="77777777" w:rsidR="00244FE8" w:rsidRPr="00863716" w:rsidRDefault="00244FE8" w:rsidP="00244FE8">
      <w:pPr>
        <w:spacing w:after="0" w:line="240" w:lineRule="auto"/>
        <w:ind w:left="426" w:hanging="426"/>
        <w:contextualSpacing/>
        <w:jc w:val="both"/>
        <w:rPr>
          <w:rFonts w:ascii="Calibri" w:eastAsia="Times New Roman" w:hAnsi="Calibri" w:cs="Calibri"/>
          <w:snapToGrid w:val="0"/>
          <w:sz w:val="20"/>
          <w:szCs w:val="20"/>
          <w:lang w:val="en-US" w:eastAsia="fr-FR"/>
        </w:rPr>
      </w:pPr>
    </w:p>
    <w:p w14:paraId="157CCF67" w14:textId="77777777" w:rsidR="00244FE8" w:rsidRPr="00863716" w:rsidRDefault="00244FE8" w:rsidP="00244FE8">
      <w:pPr>
        <w:spacing w:after="0" w:line="240" w:lineRule="auto"/>
        <w:ind w:left="426" w:hanging="426"/>
        <w:contextualSpacing/>
        <w:jc w:val="both"/>
        <w:rPr>
          <w:rFonts w:ascii="Calibri" w:eastAsia="Times New Roman" w:hAnsi="Calibri" w:cs="Calibri"/>
          <w:snapToGrid w:val="0"/>
          <w:sz w:val="20"/>
          <w:szCs w:val="20"/>
          <w:lang w:val="en-US" w:eastAsia="fr-FR"/>
        </w:rPr>
      </w:pPr>
      <w:r w:rsidRPr="00863716">
        <w:rPr>
          <w:rFonts w:ascii="Calibri" w:eastAsia="Times New Roman" w:hAnsi="Calibri" w:cs="Calibri"/>
          <w:snapToGrid w:val="0"/>
          <w:sz w:val="20"/>
          <w:szCs w:val="20"/>
          <w:lang w:val="en-US" w:eastAsia="fr-FR"/>
        </w:rPr>
        <w:t>4.2</w:t>
      </w:r>
      <w:r w:rsidRPr="00863716">
        <w:rPr>
          <w:rFonts w:ascii="Calibri" w:eastAsia="Times New Roman" w:hAnsi="Calibri" w:cs="Calibri"/>
          <w:snapToGrid w:val="0"/>
          <w:sz w:val="20"/>
          <w:szCs w:val="20"/>
          <w:lang w:val="en-US" w:eastAsia="fr-FR"/>
        </w:rPr>
        <w:tab/>
        <w:t xml:space="preserve">If the </w:t>
      </w:r>
      <w:r w:rsidRPr="00863716">
        <w:rPr>
          <w:rFonts w:ascii="Calibri" w:eastAsia="Times New Roman" w:hAnsi="Calibri" w:cs="Calibri"/>
          <w:noProof/>
          <w:snapToGrid w:val="0"/>
          <w:sz w:val="20"/>
          <w:szCs w:val="20"/>
          <w:lang w:val="gd-GB" w:eastAsia="fr-FR"/>
        </w:rPr>
        <w:t>Participant</w:t>
      </w:r>
      <w:r w:rsidRPr="00863716">
        <w:rPr>
          <w:rFonts w:ascii="Calibri" w:eastAsia="Times New Roman" w:hAnsi="Calibri" w:cs="Calibri"/>
          <w:snapToGrid w:val="0"/>
          <w:sz w:val="20"/>
          <w:szCs w:val="20"/>
          <w:lang w:val="en-US" w:eastAsia="fr-FR"/>
        </w:rPr>
        <w:t xml:space="preserve"> wishes to implement certain Foreground in its business, it must initiate bilateral negotiations with the Institution(s) owning that Foreground. Rights to Foreground will only be granted to such Participant under a formal written agreement between the Parties concerned.</w:t>
      </w:r>
    </w:p>
    <w:p w14:paraId="702D71C4" w14:textId="77777777" w:rsidR="00244FE8" w:rsidRPr="00863716" w:rsidRDefault="00244FE8" w:rsidP="00244FE8">
      <w:pPr>
        <w:spacing w:after="0" w:line="240" w:lineRule="auto"/>
        <w:contextualSpacing/>
        <w:jc w:val="both"/>
        <w:rPr>
          <w:rFonts w:ascii="Calibri" w:eastAsia="Times New Roman" w:hAnsi="Calibri" w:cs="Calibri"/>
          <w:b/>
          <w:snapToGrid w:val="0"/>
          <w:sz w:val="20"/>
          <w:szCs w:val="20"/>
          <w:lang w:val="en-US" w:eastAsia="fr-FR"/>
        </w:rPr>
      </w:pPr>
    </w:p>
    <w:p w14:paraId="1A7253C2" w14:textId="77777777" w:rsidR="00244FE8" w:rsidRPr="00863716" w:rsidRDefault="00244FE8" w:rsidP="00244FE8">
      <w:pPr>
        <w:spacing w:after="0" w:line="240" w:lineRule="auto"/>
        <w:ind w:left="426" w:hanging="426"/>
        <w:contextualSpacing/>
        <w:jc w:val="both"/>
        <w:rPr>
          <w:rFonts w:ascii="Calibri" w:eastAsia="Times New Roman" w:hAnsi="Calibri" w:cs="Calibri"/>
          <w:b/>
          <w:snapToGrid w:val="0"/>
          <w:sz w:val="20"/>
          <w:szCs w:val="20"/>
          <w:lang w:val="en-US" w:eastAsia="fr-FR"/>
        </w:rPr>
      </w:pPr>
      <w:r w:rsidRPr="00863716">
        <w:rPr>
          <w:rFonts w:ascii="Calibri" w:eastAsia="Times New Roman" w:hAnsi="Calibri" w:cs="Calibri"/>
          <w:b/>
          <w:snapToGrid w:val="0"/>
          <w:sz w:val="20"/>
          <w:szCs w:val="20"/>
          <w:lang w:val="en-US" w:eastAsia="fr-FR"/>
        </w:rPr>
        <w:t>5.</w:t>
      </w:r>
      <w:r w:rsidRPr="00863716">
        <w:rPr>
          <w:rFonts w:ascii="Calibri" w:eastAsia="Times New Roman" w:hAnsi="Calibri" w:cs="Calibri"/>
          <w:b/>
          <w:snapToGrid w:val="0"/>
          <w:sz w:val="20"/>
          <w:szCs w:val="20"/>
          <w:lang w:val="en-US" w:eastAsia="fr-FR"/>
        </w:rPr>
        <w:tab/>
        <w:t>MISCELLANEOUS</w:t>
      </w:r>
    </w:p>
    <w:p w14:paraId="2F03EE27" w14:textId="77777777" w:rsidR="00244FE8" w:rsidRPr="00863716" w:rsidRDefault="00244FE8" w:rsidP="00244FE8">
      <w:pPr>
        <w:spacing w:after="0" w:line="240" w:lineRule="auto"/>
        <w:contextualSpacing/>
        <w:jc w:val="both"/>
        <w:rPr>
          <w:rFonts w:ascii="Calibri" w:eastAsia="Times New Roman" w:hAnsi="Calibri" w:cs="Calibri"/>
          <w:b/>
          <w:snapToGrid w:val="0"/>
          <w:sz w:val="20"/>
          <w:szCs w:val="20"/>
          <w:lang w:val="en-US" w:eastAsia="fr-FR"/>
        </w:rPr>
      </w:pPr>
    </w:p>
    <w:p w14:paraId="44D41C3E"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5.1</w:t>
      </w:r>
      <w:r w:rsidRPr="00863716">
        <w:rPr>
          <w:rFonts w:ascii="Calibri" w:eastAsia="Times New Roman" w:hAnsi="Calibri" w:cs="Calibri"/>
          <w:sz w:val="20"/>
          <w:szCs w:val="20"/>
          <w:lang w:val="en-US"/>
        </w:rPr>
        <w:tab/>
        <w:t xml:space="preserve">The Participant agrees that each other Party is a </w:t>
      </w:r>
      <w:r>
        <w:rPr>
          <w:rFonts w:ascii="Calibri" w:eastAsia="Times New Roman" w:hAnsi="Calibri" w:cs="Calibri"/>
          <w:sz w:val="20"/>
          <w:szCs w:val="20"/>
          <w:lang w:val="en-US"/>
        </w:rPr>
        <w:t>(</w:t>
      </w:r>
      <w:r w:rsidRPr="00863716">
        <w:rPr>
          <w:rFonts w:ascii="Calibri" w:eastAsia="Times New Roman" w:hAnsi="Calibri" w:cs="Calibri"/>
          <w:sz w:val="20"/>
          <w:szCs w:val="20"/>
          <w:lang w:val="en-US"/>
        </w:rPr>
        <w:t>third party</w:t>
      </w:r>
      <w:r>
        <w:rPr>
          <w:rFonts w:ascii="Calibri" w:eastAsia="Times New Roman" w:hAnsi="Calibri" w:cs="Calibri"/>
          <w:sz w:val="20"/>
          <w:szCs w:val="20"/>
          <w:lang w:val="en-US"/>
        </w:rPr>
        <w:t>)</w:t>
      </w:r>
      <w:r w:rsidRPr="00863716">
        <w:rPr>
          <w:rFonts w:ascii="Calibri" w:eastAsia="Times New Roman" w:hAnsi="Calibri" w:cs="Calibri"/>
          <w:sz w:val="20"/>
          <w:szCs w:val="20"/>
          <w:lang w:val="en-US"/>
        </w:rPr>
        <w:t xml:space="preserve"> beneficiary of this ABA Form with full rights to enforce </w:t>
      </w:r>
      <w:r>
        <w:rPr>
          <w:rFonts w:ascii="Calibri" w:eastAsia="Times New Roman" w:hAnsi="Calibri" w:cs="Calibri"/>
          <w:sz w:val="20"/>
          <w:szCs w:val="20"/>
          <w:lang w:val="en-US"/>
        </w:rPr>
        <w:t>the terms of this ABA Form</w:t>
      </w:r>
      <w:r w:rsidRPr="00863716">
        <w:rPr>
          <w:rFonts w:ascii="Calibri" w:eastAsia="Times New Roman" w:hAnsi="Calibri" w:cs="Calibri"/>
          <w:sz w:val="20"/>
          <w:szCs w:val="20"/>
          <w:lang w:val="en-US"/>
        </w:rPr>
        <w:t xml:space="preserve"> and</w:t>
      </w:r>
      <w:r>
        <w:rPr>
          <w:rFonts w:ascii="Calibri" w:eastAsia="Times New Roman" w:hAnsi="Calibri" w:cs="Calibri"/>
          <w:sz w:val="20"/>
          <w:szCs w:val="20"/>
          <w:lang w:val="en-US"/>
        </w:rPr>
        <w:t xml:space="preserve"> to</w:t>
      </w:r>
      <w:r w:rsidRPr="00863716">
        <w:rPr>
          <w:rFonts w:ascii="Calibri" w:eastAsia="Times New Roman" w:hAnsi="Calibri" w:cs="Calibri"/>
          <w:sz w:val="20"/>
          <w:szCs w:val="20"/>
          <w:lang w:val="en-US"/>
        </w:rPr>
        <w:t xml:space="preserve"> seek remedies against any breach of this ABA Form. </w:t>
      </w:r>
    </w:p>
    <w:p w14:paraId="184C5AB5" w14:textId="77777777" w:rsidR="00244FE8" w:rsidRPr="00863716" w:rsidRDefault="00244FE8" w:rsidP="00244FE8">
      <w:pPr>
        <w:spacing w:after="0" w:line="240" w:lineRule="auto"/>
        <w:ind w:left="426" w:hanging="426"/>
        <w:jc w:val="both"/>
        <w:rPr>
          <w:rFonts w:ascii="Calibri" w:eastAsia="Times New Roman" w:hAnsi="Calibri" w:cs="Calibri"/>
          <w:sz w:val="20"/>
          <w:szCs w:val="20"/>
          <w:lang w:val="en-US"/>
        </w:rPr>
      </w:pPr>
    </w:p>
    <w:p w14:paraId="44407F9C" w14:textId="77777777" w:rsidR="00244FE8" w:rsidRPr="006912BA" w:rsidRDefault="00244FE8" w:rsidP="00244FE8">
      <w:pPr>
        <w:spacing w:after="0" w:line="240" w:lineRule="auto"/>
        <w:ind w:left="426" w:hanging="426"/>
        <w:jc w:val="both"/>
        <w:rPr>
          <w:rFonts w:ascii="Calibri" w:eastAsia="Times New Roman" w:hAnsi="Calibri" w:cs="Calibri"/>
          <w:sz w:val="20"/>
          <w:szCs w:val="20"/>
          <w:lang w:val="en-US"/>
        </w:rPr>
      </w:pPr>
      <w:r w:rsidRPr="00863716">
        <w:rPr>
          <w:rFonts w:ascii="Calibri" w:eastAsia="Times New Roman" w:hAnsi="Calibri" w:cs="Calibri"/>
          <w:sz w:val="20"/>
          <w:szCs w:val="20"/>
          <w:lang w:val="en-US"/>
        </w:rPr>
        <w:t>5.2</w:t>
      </w:r>
      <w:r w:rsidRPr="00863716">
        <w:rPr>
          <w:rFonts w:ascii="Calibri" w:eastAsia="Times New Roman" w:hAnsi="Calibri" w:cs="Calibri"/>
          <w:sz w:val="20"/>
          <w:szCs w:val="20"/>
          <w:lang w:val="en-US"/>
        </w:rPr>
        <w:tab/>
        <w:t>In the event that a Party pursues legal action against the Participant to enforce the terms and conditions of this ABA Form, the Dutch speaking courts of Brussels shall have sole and exclusive jurisdiction over the matter. This ABA Form shall be governed by the laws of Belgium, without giving effect to its conflict of laws provisions.</w:t>
      </w:r>
    </w:p>
    <w:p w14:paraId="796C63CD" w14:textId="77777777" w:rsidR="00244FE8" w:rsidRPr="007E4CDB" w:rsidRDefault="00244FE8" w:rsidP="00244FE8">
      <w:pPr>
        <w:rPr>
          <w:lang w:val="en-US"/>
        </w:rPr>
      </w:pPr>
    </w:p>
    <w:p w14:paraId="00601623" w14:textId="77777777" w:rsidR="00B166BB" w:rsidRPr="00B166BB" w:rsidRDefault="00B166BB" w:rsidP="0031780B">
      <w:pPr>
        <w:rPr>
          <w:lang w:val="en-US"/>
        </w:rPr>
      </w:pPr>
    </w:p>
    <w:sectPr w:rsidR="00B166BB" w:rsidRPr="00B166BB">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241C" w14:textId="77777777" w:rsidR="00FA3945" w:rsidRDefault="00FA3945" w:rsidP="00E149F4">
      <w:pPr>
        <w:spacing w:after="0" w:line="240" w:lineRule="auto"/>
      </w:pPr>
      <w:r>
        <w:separator/>
      </w:r>
    </w:p>
    <w:p w14:paraId="32E80FC1" w14:textId="77777777" w:rsidR="00FA3945" w:rsidRDefault="00FA3945"/>
    <w:p w14:paraId="0BB120D4" w14:textId="77777777" w:rsidR="00FA3945" w:rsidRDefault="00FA3945" w:rsidP="00ED09EE"/>
  </w:endnote>
  <w:endnote w:type="continuationSeparator" w:id="0">
    <w:p w14:paraId="688137A8" w14:textId="77777777" w:rsidR="00FA3945" w:rsidRDefault="00FA3945" w:rsidP="00E149F4">
      <w:pPr>
        <w:spacing w:after="0" w:line="240" w:lineRule="auto"/>
      </w:pPr>
      <w:r>
        <w:continuationSeparator/>
      </w:r>
    </w:p>
    <w:p w14:paraId="40411713" w14:textId="77777777" w:rsidR="00FA3945" w:rsidRDefault="00FA3945"/>
    <w:p w14:paraId="1C1F1516" w14:textId="77777777" w:rsidR="00FA3945" w:rsidRDefault="00FA3945" w:rsidP="00ED09EE"/>
  </w:endnote>
  <w:endnote w:type="continuationNotice" w:id="1">
    <w:p w14:paraId="05122658" w14:textId="77777777" w:rsidR="00FA3945" w:rsidRDefault="00FA39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ED3B4" w14:textId="77777777" w:rsidR="00FA3945" w:rsidRDefault="00FA3945" w:rsidP="00E149F4">
      <w:pPr>
        <w:spacing w:after="0" w:line="240" w:lineRule="auto"/>
      </w:pPr>
      <w:r>
        <w:separator/>
      </w:r>
    </w:p>
    <w:p w14:paraId="4D5C853E" w14:textId="77777777" w:rsidR="00FA3945" w:rsidRDefault="00FA3945"/>
    <w:p w14:paraId="71708818" w14:textId="77777777" w:rsidR="00FA3945" w:rsidRDefault="00FA3945" w:rsidP="00ED09EE"/>
  </w:footnote>
  <w:footnote w:type="continuationSeparator" w:id="0">
    <w:p w14:paraId="7FECC48E" w14:textId="77777777" w:rsidR="00FA3945" w:rsidRDefault="00FA3945" w:rsidP="00E149F4">
      <w:pPr>
        <w:spacing w:after="0" w:line="240" w:lineRule="auto"/>
      </w:pPr>
      <w:r>
        <w:continuationSeparator/>
      </w:r>
    </w:p>
    <w:p w14:paraId="393D811C" w14:textId="77777777" w:rsidR="00FA3945" w:rsidRDefault="00FA3945"/>
    <w:p w14:paraId="078EDD07" w14:textId="77777777" w:rsidR="00FA3945" w:rsidRDefault="00FA3945" w:rsidP="00ED09EE"/>
  </w:footnote>
  <w:footnote w:type="continuationNotice" w:id="1">
    <w:p w14:paraId="434B88B9" w14:textId="77777777" w:rsidR="00FA3945" w:rsidRDefault="00FA39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1CE9" w14:textId="77777777" w:rsidR="00624DF9" w:rsidRPr="00B840FD" w:rsidRDefault="00624DF9" w:rsidP="00B840FD">
    <w:pPr>
      <w:pStyle w:val="NoSpacing"/>
    </w:pPr>
    <w:r w:rsidRPr="00B840FD">
      <w:rPr>
        <w:highlight w:val="yellow"/>
      </w:rPr>
      <w:t>[Please add company logo]</w:t>
    </w:r>
    <w:r w:rsidRPr="00B840FD">
      <w:tab/>
    </w:r>
    <w:r w:rsidRPr="00B840FD">
      <w:tab/>
    </w:r>
    <w:r w:rsidRPr="00B840FD">
      <w:tab/>
    </w:r>
    <w:r w:rsidRPr="00B840FD">
      <w:tab/>
    </w:r>
    <w:r w:rsidRPr="00B840FD">
      <w:tab/>
      <w:t xml:space="preserve">       </w:t>
    </w:r>
    <w:r w:rsidRPr="00B840FD">
      <w:rPr>
        <w:noProof/>
      </w:rPr>
      <w:drawing>
        <wp:anchor distT="0" distB="0" distL="114300" distR="114300" simplePos="0" relativeHeight="251659264" behindDoc="0" locked="0" layoutInCell="1" allowOverlap="1" wp14:anchorId="78F6F7AC" wp14:editId="35888A4E">
          <wp:simplePos x="0" y="0"/>
          <wp:positionH relativeFrom="column">
            <wp:posOffset>3843655</wp:posOffset>
          </wp:positionH>
          <wp:positionV relativeFrom="page">
            <wp:posOffset>447675</wp:posOffset>
          </wp:positionV>
          <wp:extent cx="1878965" cy="341630"/>
          <wp:effectExtent l="0" t="0" r="6985" b="1270"/>
          <wp:wrapThrough wrapText="bothSides">
            <wp:wrapPolygon edited="0">
              <wp:start x="0" y="0"/>
              <wp:lineTo x="0" y="20476"/>
              <wp:lineTo x="21461" y="20476"/>
              <wp:lineTo x="21461" y="0"/>
              <wp:lineTo x="0" y="0"/>
            </wp:wrapPolygon>
          </wp:wrapThrough>
          <wp:docPr id="89536350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Moonshot koptekst.png"/>
                  <pic:cNvPicPr/>
                </pic:nvPicPr>
                <pic:blipFill>
                  <a:blip r:embed="rId1">
                    <a:extLst>
                      <a:ext uri="{28A0092B-C50C-407E-A947-70E740481C1C}">
                        <a14:useLocalDpi xmlns:a14="http://schemas.microsoft.com/office/drawing/2010/main" val="0"/>
                      </a:ext>
                    </a:extLst>
                  </a:blip>
                  <a:stretch>
                    <a:fillRect/>
                  </a:stretch>
                </pic:blipFill>
                <pic:spPr>
                  <a:xfrm>
                    <a:off x="0" y="0"/>
                    <a:ext cx="1878965" cy="341630"/>
                  </a:xfrm>
                  <a:prstGeom prst="rect">
                    <a:avLst/>
                  </a:prstGeom>
                </pic:spPr>
              </pic:pic>
            </a:graphicData>
          </a:graphic>
        </wp:anchor>
      </w:drawing>
    </w:r>
  </w:p>
  <w:p w14:paraId="5FBD572F" w14:textId="7C36C7BA" w:rsidR="00F450CC" w:rsidRDefault="00F450CC" w:rsidP="008250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6CDA"/>
    <w:multiLevelType w:val="hybridMultilevel"/>
    <w:tmpl w:val="462EA79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046D073C"/>
    <w:multiLevelType w:val="hybridMultilevel"/>
    <w:tmpl w:val="11041B9E"/>
    <w:lvl w:ilvl="0" w:tplc="9DE84CDC">
      <w:numFmt w:val="bullet"/>
      <w:lvlText w:val="•"/>
      <w:lvlJc w:val="left"/>
      <w:pPr>
        <w:ind w:left="1065" w:hanging="705"/>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27E2CA7"/>
    <w:multiLevelType w:val="multilevel"/>
    <w:tmpl w:val="84A4E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AF4DA3"/>
    <w:multiLevelType w:val="hybridMultilevel"/>
    <w:tmpl w:val="F0825A24"/>
    <w:lvl w:ilvl="0" w:tplc="0E844BA2">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5EB60EC"/>
    <w:multiLevelType w:val="hybridMultilevel"/>
    <w:tmpl w:val="24E608C2"/>
    <w:lvl w:ilvl="0" w:tplc="0813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632175"/>
    <w:multiLevelType w:val="multilevel"/>
    <w:tmpl w:val="771A9E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D07F47"/>
    <w:multiLevelType w:val="hybridMultilevel"/>
    <w:tmpl w:val="2C82BF6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73D5748"/>
    <w:multiLevelType w:val="multilevel"/>
    <w:tmpl w:val="6B588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502531"/>
    <w:multiLevelType w:val="multilevel"/>
    <w:tmpl w:val="218E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DC4224"/>
    <w:multiLevelType w:val="hybridMultilevel"/>
    <w:tmpl w:val="495A929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5581509"/>
    <w:multiLevelType w:val="multilevel"/>
    <w:tmpl w:val="48E2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9645D0"/>
    <w:multiLevelType w:val="multilevel"/>
    <w:tmpl w:val="DB303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B066CD"/>
    <w:multiLevelType w:val="hybridMultilevel"/>
    <w:tmpl w:val="0E729F5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E0424F7"/>
    <w:multiLevelType w:val="hybridMultilevel"/>
    <w:tmpl w:val="4CB4048E"/>
    <w:lvl w:ilvl="0" w:tplc="C0540CF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E793B29"/>
    <w:multiLevelType w:val="hybridMultilevel"/>
    <w:tmpl w:val="B6F68F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6622F58"/>
    <w:multiLevelType w:val="hybridMultilevel"/>
    <w:tmpl w:val="2358347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5D65293E"/>
    <w:multiLevelType w:val="hybridMultilevel"/>
    <w:tmpl w:val="B9047D36"/>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DBF2E48"/>
    <w:multiLevelType w:val="hybridMultilevel"/>
    <w:tmpl w:val="8A7094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0310267"/>
    <w:multiLevelType w:val="hybridMultilevel"/>
    <w:tmpl w:val="CE842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24569"/>
    <w:multiLevelType w:val="hybridMultilevel"/>
    <w:tmpl w:val="24785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814F5F"/>
    <w:multiLevelType w:val="hybridMultilevel"/>
    <w:tmpl w:val="76E21CB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1" w15:restartNumberingAfterBreak="0">
    <w:nsid w:val="6D745ACB"/>
    <w:multiLevelType w:val="hybridMultilevel"/>
    <w:tmpl w:val="F11A17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702104CB"/>
    <w:multiLevelType w:val="hybridMultilevel"/>
    <w:tmpl w:val="4394F84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77722B40"/>
    <w:multiLevelType w:val="hybridMultilevel"/>
    <w:tmpl w:val="FE521DE2"/>
    <w:lvl w:ilvl="0" w:tplc="E5F45512">
      <w:start w:val="1"/>
      <w:numFmt w:val="bullet"/>
      <w:lvlText w:val=""/>
      <w:lvlJc w:val="left"/>
      <w:pPr>
        <w:ind w:left="720" w:hanging="360"/>
      </w:pPr>
      <w:rPr>
        <w:rFonts w:ascii="Symbol" w:hAnsi="Symbol" w:hint="default"/>
      </w:rPr>
    </w:lvl>
    <w:lvl w:ilvl="1" w:tplc="19CE5F42">
      <w:start w:val="1"/>
      <w:numFmt w:val="bullet"/>
      <w:lvlText w:val="o"/>
      <w:lvlJc w:val="left"/>
      <w:pPr>
        <w:ind w:left="1440" w:hanging="360"/>
      </w:pPr>
      <w:rPr>
        <w:rFonts w:ascii="Courier New" w:hAnsi="Courier New" w:cs="Times New Roman" w:hint="default"/>
      </w:rPr>
    </w:lvl>
    <w:lvl w:ilvl="2" w:tplc="C18C9AA0">
      <w:start w:val="1"/>
      <w:numFmt w:val="bullet"/>
      <w:lvlText w:val=""/>
      <w:lvlJc w:val="left"/>
      <w:pPr>
        <w:ind w:left="2160" w:hanging="360"/>
      </w:pPr>
      <w:rPr>
        <w:rFonts w:ascii="Wingdings" w:hAnsi="Wingdings" w:hint="default"/>
      </w:rPr>
    </w:lvl>
    <w:lvl w:ilvl="3" w:tplc="7DACC49A">
      <w:start w:val="1"/>
      <w:numFmt w:val="bullet"/>
      <w:lvlText w:val=""/>
      <w:lvlJc w:val="left"/>
      <w:pPr>
        <w:ind w:left="2880" w:hanging="360"/>
      </w:pPr>
      <w:rPr>
        <w:rFonts w:ascii="Symbol" w:hAnsi="Symbol" w:hint="default"/>
      </w:rPr>
    </w:lvl>
    <w:lvl w:ilvl="4" w:tplc="007AB7DA">
      <w:start w:val="1"/>
      <w:numFmt w:val="bullet"/>
      <w:lvlText w:val="o"/>
      <w:lvlJc w:val="left"/>
      <w:pPr>
        <w:ind w:left="3600" w:hanging="360"/>
      </w:pPr>
      <w:rPr>
        <w:rFonts w:ascii="Courier New" w:hAnsi="Courier New" w:cs="Times New Roman" w:hint="default"/>
      </w:rPr>
    </w:lvl>
    <w:lvl w:ilvl="5" w:tplc="D56E83EE">
      <w:start w:val="1"/>
      <w:numFmt w:val="bullet"/>
      <w:lvlText w:val=""/>
      <w:lvlJc w:val="left"/>
      <w:pPr>
        <w:ind w:left="4320" w:hanging="360"/>
      </w:pPr>
      <w:rPr>
        <w:rFonts w:ascii="Wingdings" w:hAnsi="Wingdings" w:hint="default"/>
      </w:rPr>
    </w:lvl>
    <w:lvl w:ilvl="6" w:tplc="C9D80778">
      <w:start w:val="1"/>
      <w:numFmt w:val="bullet"/>
      <w:lvlText w:val=""/>
      <w:lvlJc w:val="left"/>
      <w:pPr>
        <w:ind w:left="5040" w:hanging="360"/>
      </w:pPr>
      <w:rPr>
        <w:rFonts w:ascii="Symbol" w:hAnsi="Symbol" w:hint="default"/>
      </w:rPr>
    </w:lvl>
    <w:lvl w:ilvl="7" w:tplc="CCA45CD0">
      <w:start w:val="1"/>
      <w:numFmt w:val="bullet"/>
      <w:lvlText w:val="o"/>
      <w:lvlJc w:val="left"/>
      <w:pPr>
        <w:ind w:left="5760" w:hanging="360"/>
      </w:pPr>
      <w:rPr>
        <w:rFonts w:ascii="Courier New" w:hAnsi="Courier New" w:cs="Times New Roman" w:hint="default"/>
      </w:rPr>
    </w:lvl>
    <w:lvl w:ilvl="8" w:tplc="27EA98DA">
      <w:start w:val="1"/>
      <w:numFmt w:val="bullet"/>
      <w:lvlText w:val=""/>
      <w:lvlJc w:val="left"/>
      <w:pPr>
        <w:ind w:left="6480" w:hanging="360"/>
      </w:pPr>
      <w:rPr>
        <w:rFonts w:ascii="Wingdings" w:hAnsi="Wingdings" w:hint="default"/>
      </w:rPr>
    </w:lvl>
  </w:abstractNum>
  <w:abstractNum w:abstractNumId="24" w15:restartNumberingAfterBreak="0">
    <w:nsid w:val="7B890AB1"/>
    <w:multiLevelType w:val="hybridMultilevel"/>
    <w:tmpl w:val="093A5BB4"/>
    <w:lvl w:ilvl="0" w:tplc="0813000F">
      <w:start w:val="1"/>
      <w:numFmt w:val="decimal"/>
      <w:lvlText w:val="%1."/>
      <w:lvlJc w:val="left"/>
      <w:pPr>
        <w:ind w:left="720" w:hanging="360"/>
      </w:pPr>
      <w:rPr>
        <w:rFonts w:cs="Times New Roman"/>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25" w15:restartNumberingAfterBreak="0">
    <w:nsid w:val="7D9A627D"/>
    <w:multiLevelType w:val="hybridMultilevel"/>
    <w:tmpl w:val="5B4E4C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F082F95"/>
    <w:multiLevelType w:val="multilevel"/>
    <w:tmpl w:val="5942C8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9466696">
    <w:abstractNumId w:val="3"/>
  </w:num>
  <w:num w:numId="2" w16cid:durableId="587235055">
    <w:abstractNumId w:val="25"/>
  </w:num>
  <w:num w:numId="3" w16cid:durableId="1973513471">
    <w:abstractNumId w:val="17"/>
  </w:num>
  <w:num w:numId="4" w16cid:durableId="130947010">
    <w:abstractNumId w:val="9"/>
  </w:num>
  <w:num w:numId="5" w16cid:durableId="18967245">
    <w:abstractNumId w:val="1"/>
  </w:num>
  <w:num w:numId="6" w16cid:durableId="1481114665">
    <w:abstractNumId w:val="18"/>
  </w:num>
  <w:num w:numId="7" w16cid:durableId="1808160433">
    <w:abstractNumId w:val="19"/>
  </w:num>
  <w:num w:numId="8" w16cid:durableId="475606603">
    <w:abstractNumId w:val="14"/>
  </w:num>
  <w:num w:numId="9" w16cid:durableId="1235968014">
    <w:abstractNumId w:val="6"/>
  </w:num>
  <w:num w:numId="10" w16cid:durableId="1054157393">
    <w:abstractNumId w:val="12"/>
  </w:num>
  <w:num w:numId="11" w16cid:durableId="1039936498">
    <w:abstractNumId w:val="22"/>
  </w:num>
  <w:num w:numId="12" w16cid:durableId="1991665537">
    <w:abstractNumId w:val="16"/>
  </w:num>
  <w:num w:numId="13" w16cid:durableId="16977520">
    <w:abstractNumId w:val="21"/>
  </w:num>
  <w:num w:numId="14" w16cid:durableId="86849985">
    <w:abstractNumId w:val="10"/>
  </w:num>
  <w:num w:numId="15" w16cid:durableId="1859468258">
    <w:abstractNumId w:val="15"/>
  </w:num>
  <w:num w:numId="16" w16cid:durableId="557209187">
    <w:abstractNumId w:val="20"/>
  </w:num>
  <w:num w:numId="17" w16cid:durableId="921446258">
    <w:abstractNumId w:val="13"/>
  </w:num>
  <w:num w:numId="18" w16cid:durableId="910431368">
    <w:abstractNumId w:val="14"/>
  </w:num>
  <w:num w:numId="19" w16cid:durableId="1427264892">
    <w:abstractNumId w:val="23"/>
  </w:num>
  <w:num w:numId="20" w16cid:durableId="5393938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300270">
    <w:abstractNumId w:val="4"/>
    <w:lvlOverride w:ilvl="0">
      <w:startOverride w:val="1"/>
    </w:lvlOverride>
    <w:lvlOverride w:ilvl="1"/>
    <w:lvlOverride w:ilvl="2"/>
    <w:lvlOverride w:ilvl="3"/>
    <w:lvlOverride w:ilvl="4"/>
    <w:lvlOverride w:ilvl="5"/>
    <w:lvlOverride w:ilvl="6"/>
    <w:lvlOverride w:ilvl="7"/>
    <w:lvlOverride w:ilvl="8"/>
  </w:num>
  <w:num w:numId="22" w16cid:durableId="2077121938">
    <w:abstractNumId w:val="11"/>
  </w:num>
  <w:num w:numId="23" w16cid:durableId="2022924045">
    <w:abstractNumId w:val="26"/>
  </w:num>
  <w:num w:numId="24" w16cid:durableId="1943568238">
    <w:abstractNumId w:val="5"/>
  </w:num>
  <w:num w:numId="25" w16cid:durableId="2126342388">
    <w:abstractNumId w:val="2"/>
  </w:num>
  <w:num w:numId="26" w16cid:durableId="692346196">
    <w:abstractNumId w:val="7"/>
  </w:num>
  <w:num w:numId="27" w16cid:durableId="1976065008">
    <w:abstractNumId w:val="8"/>
  </w:num>
  <w:num w:numId="28" w16cid:durableId="289896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795"/>
    <w:rsid w:val="00000518"/>
    <w:rsid w:val="000041CB"/>
    <w:rsid w:val="000048EE"/>
    <w:rsid w:val="00011183"/>
    <w:rsid w:val="00017AC9"/>
    <w:rsid w:val="000234AC"/>
    <w:rsid w:val="00023FD3"/>
    <w:rsid w:val="0002696C"/>
    <w:rsid w:val="00030D9B"/>
    <w:rsid w:val="000321B7"/>
    <w:rsid w:val="000607CA"/>
    <w:rsid w:val="00064C6E"/>
    <w:rsid w:val="00064DD9"/>
    <w:rsid w:val="000668F4"/>
    <w:rsid w:val="0006745B"/>
    <w:rsid w:val="00067855"/>
    <w:rsid w:val="00070B3E"/>
    <w:rsid w:val="00074619"/>
    <w:rsid w:val="00076992"/>
    <w:rsid w:val="00077427"/>
    <w:rsid w:val="000857CB"/>
    <w:rsid w:val="00090C17"/>
    <w:rsid w:val="00093966"/>
    <w:rsid w:val="000A26BF"/>
    <w:rsid w:val="000A2D76"/>
    <w:rsid w:val="000A7CD7"/>
    <w:rsid w:val="000A7E3E"/>
    <w:rsid w:val="000B4622"/>
    <w:rsid w:val="000C69C7"/>
    <w:rsid w:val="000C6D35"/>
    <w:rsid w:val="000D38F1"/>
    <w:rsid w:val="000D3E6D"/>
    <w:rsid w:val="000D49A5"/>
    <w:rsid w:val="000E023C"/>
    <w:rsid w:val="000E0AC2"/>
    <w:rsid w:val="000E2D87"/>
    <w:rsid w:val="000F5A20"/>
    <w:rsid w:val="000F7F70"/>
    <w:rsid w:val="00100E92"/>
    <w:rsid w:val="00103FAB"/>
    <w:rsid w:val="00106531"/>
    <w:rsid w:val="0011014E"/>
    <w:rsid w:val="00110B31"/>
    <w:rsid w:val="0011689B"/>
    <w:rsid w:val="00121807"/>
    <w:rsid w:val="00126D6E"/>
    <w:rsid w:val="001274D5"/>
    <w:rsid w:val="00132B00"/>
    <w:rsid w:val="0013377A"/>
    <w:rsid w:val="001342E4"/>
    <w:rsid w:val="001347EF"/>
    <w:rsid w:val="001362E8"/>
    <w:rsid w:val="00137341"/>
    <w:rsid w:val="00141D78"/>
    <w:rsid w:val="00142B3A"/>
    <w:rsid w:val="00145EDC"/>
    <w:rsid w:val="0014721A"/>
    <w:rsid w:val="00147388"/>
    <w:rsid w:val="00147529"/>
    <w:rsid w:val="00152BFF"/>
    <w:rsid w:val="00162952"/>
    <w:rsid w:val="00167A6F"/>
    <w:rsid w:val="00167B3B"/>
    <w:rsid w:val="00176BEC"/>
    <w:rsid w:val="00181096"/>
    <w:rsid w:val="00182794"/>
    <w:rsid w:val="00182D91"/>
    <w:rsid w:val="00184746"/>
    <w:rsid w:val="00185D82"/>
    <w:rsid w:val="001906F2"/>
    <w:rsid w:val="00193816"/>
    <w:rsid w:val="001975D8"/>
    <w:rsid w:val="001A1230"/>
    <w:rsid w:val="001A2DB0"/>
    <w:rsid w:val="001A445E"/>
    <w:rsid w:val="001B00EA"/>
    <w:rsid w:val="001B0817"/>
    <w:rsid w:val="001B4097"/>
    <w:rsid w:val="001C0948"/>
    <w:rsid w:val="001C1AC0"/>
    <w:rsid w:val="001C3594"/>
    <w:rsid w:val="001D2EC5"/>
    <w:rsid w:val="001E5231"/>
    <w:rsid w:val="001F1ED2"/>
    <w:rsid w:val="001F5804"/>
    <w:rsid w:val="002022EA"/>
    <w:rsid w:val="0020317A"/>
    <w:rsid w:val="002074CF"/>
    <w:rsid w:val="00210597"/>
    <w:rsid w:val="0021271C"/>
    <w:rsid w:val="00212913"/>
    <w:rsid w:val="0021421F"/>
    <w:rsid w:val="00216DBE"/>
    <w:rsid w:val="00217A61"/>
    <w:rsid w:val="00217E46"/>
    <w:rsid w:val="00220DFF"/>
    <w:rsid w:val="00230A37"/>
    <w:rsid w:val="002373F5"/>
    <w:rsid w:val="002377BC"/>
    <w:rsid w:val="002428FE"/>
    <w:rsid w:val="00244FE8"/>
    <w:rsid w:val="00246BE0"/>
    <w:rsid w:val="00250582"/>
    <w:rsid w:val="002524EF"/>
    <w:rsid w:val="00261515"/>
    <w:rsid w:val="00262A24"/>
    <w:rsid w:val="0026631E"/>
    <w:rsid w:val="00271273"/>
    <w:rsid w:val="002722A6"/>
    <w:rsid w:val="002744FA"/>
    <w:rsid w:val="002761AE"/>
    <w:rsid w:val="002825FC"/>
    <w:rsid w:val="00284C3C"/>
    <w:rsid w:val="00290F7D"/>
    <w:rsid w:val="0029409A"/>
    <w:rsid w:val="0029455B"/>
    <w:rsid w:val="00296710"/>
    <w:rsid w:val="00296F3B"/>
    <w:rsid w:val="002A007A"/>
    <w:rsid w:val="002A6941"/>
    <w:rsid w:val="002B4069"/>
    <w:rsid w:val="002B4132"/>
    <w:rsid w:val="002B4675"/>
    <w:rsid w:val="002B7DFA"/>
    <w:rsid w:val="002C1DFF"/>
    <w:rsid w:val="002D7074"/>
    <w:rsid w:val="002D79ED"/>
    <w:rsid w:val="002E0AC3"/>
    <w:rsid w:val="002E1736"/>
    <w:rsid w:val="002F03F8"/>
    <w:rsid w:val="002F6288"/>
    <w:rsid w:val="002F7026"/>
    <w:rsid w:val="003032B5"/>
    <w:rsid w:val="00307365"/>
    <w:rsid w:val="00311B0F"/>
    <w:rsid w:val="00314B46"/>
    <w:rsid w:val="0031780B"/>
    <w:rsid w:val="00321BA9"/>
    <w:rsid w:val="00323C2B"/>
    <w:rsid w:val="003309BA"/>
    <w:rsid w:val="003359B0"/>
    <w:rsid w:val="00337582"/>
    <w:rsid w:val="00342C60"/>
    <w:rsid w:val="00343808"/>
    <w:rsid w:val="003502B2"/>
    <w:rsid w:val="00352268"/>
    <w:rsid w:val="003613B4"/>
    <w:rsid w:val="00363F16"/>
    <w:rsid w:val="0036403F"/>
    <w:rsid w:val="00364E5E"/>
    <w:rsid w:val="0037111A"/>
    <w:rsid w:val="00381D57"/>
    <w:rsid w:val="00385A1D"/>
    <w:rsid w:val="003953BD"/>
    <w:rsid w:val="00396C7A"/>
    <w:rsid w:val="003B2AFB"/>
    <w:rsid w:val="003B3BF0"/>
    <w:rsid w:val="003C6E8E"/>
    <w:rsid w:val="003C76BD"/>
    <w:rsid w:val="003D0847"/>
    <w:rsid w:val="003D1B88"/>
    <w:rsid w:val="003D33E2"/>
    <w:rsid w:val="003D56AE"/>
    <w:rsid w:val="003D62F6"/>
    <w:rsid w:val="003E06F2"/>
    <w:rsid w:val="003F3DF4"/>
    <w:rsid w:val="003F55F8"/>
    <w:rsid w:val="00400180"/>
    <w:rsid w:val="00406C6A"/>
    <w:rsid w:val="004179F5"/>
    <w:rsid w:val="00420EB4"/>
    <w:rsid w:val="00426F9D"/>
    <w:rsid w:val="00446481"/>
    <w:rsid w:val="00451447"/>
    <w:rsid w:val="00453764"/>
    <w:rsid w:val="00453D12"/>
    <w:rsid w:val="004566F2"/>
    <w:rsid w:val="00461F97"/>
    <w:rsid w:val="0046240B"/>
    <w:rsid w:val="00462CD0"/>
    <w:rsid w:val="00465FC9"/>
    <w:rsid w:val="00466FC3"/>
    <w:rsid w:val="00470A90"/>
    <w:rsid w:val="00471A43"/>
    <w:rsid w:val="00471C09"/>
    <w:rsid w:val="00472627"/>
    <w:rsid w:val="00472D43"/>
    <w:rsid w:val="00483287"/>
    <w:rsid w:val="004A02CF"/>
    <w:rsid w:val="004A7F0F"/>
    <w:rsid w:val="004B21FF"/>
    <w:rsid w:val="004B7144"/>
    <w:rsid w:val="004C0DAE"/>
    <w:rsid w:val="004C2121"/>
    <w:rsid w:val="004C3130"/>
    <w:rsid w:val="004D5506"/>
    <w:rsid w:val="004E519E"/>
    <w:rsid w:val="004E7544"/>
    <w:rsid w:val="004F0061"/>
    <w:rsid w:val="004F78B3"/>
    <w:rsid w:val="00500509"/>
    <w:rsid w:val="00501640"/>
    <w:rsid w:val="005034EA"/>
    <w:rsid w:val="00506F68"/>
    <w:rsid w:val="00510F71"/>
    <w:rsid w:val="00510FB7"/>
    <w:rsid w:val="00511FF9"/>
    <w:rsid w:val="0053349F"/>
    <w:rsid w:val="00533A5A"/>
    <w:rsid w:val="005365A8"/>
    <w:rsid w:val="005403A8"/>
    <w:rsid w:val="005410D4"/>
    <w:rsid w:val="00543539"/>
    <w:rsid w:val="00550746"/>
    <w:rsid w:val="00560129"/>
    <w:rsid w:val="00561A26"/>
    <w:rsid w:val="00565C53"/>
    <w:rsid w:val="0056660A"/>
    <w:rsid w:val="00570F5D"/>
    <w:rsid w:val="005742AB"/>
    <w:rsid w:val="0058368C"/>
    <w:rsid w:val="00584D8F"/>
    <w:rsid w:val="00590889"/>
    <w:rsid w:val="00594116"/>
    <w:rsid w:val="005962B5"/>
    <w:rsid w:val="005A0113"/>
    <w:rsid w:val="005A2920"/>
    <w:rsid w:val="005A7C67"/>
    <w:rsid w:val="005B07F1"/>
    <w:rsid w:val="005B0936"/>
    <w:rsid w:val="005B1930"/>
    <w:rsid w:val="005B2F07"/>
    <w:rsid w:val="005B38DE"/>
    <w:rsid w:val="005B3FFF"/>
    <w:rsid w:val="005B58D0"/>
    <w:rsid w:val="005C2565"/>
    <w:rsid w:val="005C574A"/>
    <w:rsid w:val="005C7CD7"/>
    <w:rsid w:val="005D28A0"/>
    <w:rsid w:val="005D3519"/>
    <w:rsid w:val="005D368C"/>
    <w:rsid w:val="005D4967"/>
    <w:rsid w:val="005D528F"/>
    <w:rsid w:val="00601E59"/>
    <w:rsid w:val="00604813"/>
    <w:rsid w:val="00607C2A"/>
    <w:rsid w:val="006125F7"/>
    <w:rsid w:val="00616C35"/>
    <w:rsid w:val="00622F0C"/>
    <w:rsid w:val="006231DE"/>
    <w:rsid w:val="00624DF9"/>
    <w:rsid w:val="00624F56"/>
    <w:rsid w:val="00633E00"/>
    <w:rsid w:val="0064457C"/>
    <w:rsid w:val="006449B7"/>
    <w:rsid w:val="0066005A"/>
    <w:rsid w:val="00666DF8"/>
    <w:rsid w:val="00672EE0"/>
    <w:rsid w:val="006736AC"/>
    <w:rsid w:val="006759E1"/>
    <w:rsid w:val="00680F13"/>
    <w:rsid w:val="00682A7E"/>
    <w:rsid w:val="00686BC4"/>
    <w:rsid w:val="00687395"/>
    <w:rsid w:val="006934CC"/>
    <w:rsid w:val="0069512B"/>
    <w:rsid w:val="00696FA1"/>
    <w:rsid w:val="006972E7"/>
    <w:rsid w:val="006A05C7"/>
    <w:rsid w:val="006A488D"/>
    <w:rsid w:val="006A7442"/>
    <w:rsid w:val="006A7687"/>
    <w:rsid w:val="006B48EC"/>
    <w:rsid w:val="006B60D7"/>
    <w:rsid w:val="006C045E"/>
    <w:rsid w:val="006E0C64"/>
    <w:rsid w:val="006E5594"/>
    <w:rsid w:val="006F1602"/>
    <w:rsid w:val="006F374F"/>
    <w:rsid w:val="00701B5F"/>
    <w:rsid w:val="00710C43"/>
    <w:rsid w:val="00716C1A"/>
    <w:rsid w:val="00720620"/>
    <w:rsid w:val="00721769"/>
    <w:rsid w:val="00732591"/>
    <w:rsid w:val="00735554"/>
    <w:rsid w:val="00741FE4"/>
    <w:rsid w:val="0074321C"/>
    <w:rsid w:val="00745DF1"/>
    <w:rsid w:val="007516C8"/>
    <w:rsid w:val="00761252"/>
    <w:rsid w:val="00764AF3"/>
    <w:rsid w:val="00766D51"/>
    <w:rsid w:val="00782F2E"/>
    <w:rsid w:val="00783C63"/>
    <w:rsid w:val="00784205"/>
    <w:rsid w:val="0078465C"/>
    <w:rsid w:val="00785928"/>
    <w:rsid w:val="00786987"/>
    <w:rsid w:val="00786B11"/>
    <w:rsid w:val="00794993"/>
    <w:rsid w:val="007A08FA"/>
    <w:rsid w:val="007A17B6"/>
    <w:rsid w:val="007A4325"/>
    <w:rsid w:val="007A5CA8"/>
    <w:rsid w:val="007B162D"/>
    <w:rsid w:val="007B35CF"/>
    <w:rsid w:val="007B7773"/>
    <w:rsid w:val="007D2E20"/>
    <w:rsid w:val="007D6DC5"/>
    <w:rsid w:val="007D7000"/>
    <w:rsid w:val="007E063A"/>
    <w:rsid w:val="007F3761"/>
    <w:rsid w:val="007F48E4"/>
    <w:rsid w:val="007F6E9C"/>
    <w:rsid w:val="007F769F"/>
    <w:rsid w:val="00804F9E"/>
    <w:rsid w:val="00805AC4"/>
    <w:rsid w:val="00806ACE"/>
    <w:rsid w:val="0081165B"/>
    <w:rsid w:val="0081289A"/>
    <w:rsid w:val="008149C5"/>
    <w:rsid w:val="00820C5B"/>
    <w:rsid w:val="00825069"/>
    <w:rsid w:val="00825661"/>
    <w:rsid w:val="008273C1"/>
    <w:rsid w:val="00830971"/>
    <w:rsid w:val="008335AA"/>
    <w:rsid w:val="00844ABA"/>
    <w:rsid w:val="00852EFB"/>
    <w:rsid w:val="0085389E"/>
    <w:rsid w:val="0085397F"/>
    <w:rsid w:val="00855A0F"/>
    <w:rsid w:val="00860328"/>
    <w:rsid w:val="00863716"/>
    <w:rsid w:val="008652CD"/>
    <w:rsid w:val="008671AE"/>
    <w:rsid w:val="008751AA"/>
    <w:rsid w:val="0088577D"/>
    <w:rsid w:val="008A3117"/>
    <w:rsid w:val="008A77CB"/>
    <w:rsid w:val="008B6922"/>
    <w:rsid w:val="008B7339"/>
    <w:rsid w:val="008C0057"/>
    <w:rsid w:val="008D16A5"/>
    <w:rsid w:val="008D337C"/>
    <w:rsid w:val="008D6601"/>
    <w:rsid w:val="008D6937"/>
    <w:rsid w:val="008E2A7C"/>
    <w:rsid w:val="008E53D8"/>
    <w:rsid w:val="008F2254"/>
    <w:rsid w:val="008F251D"/>
    <w:rsid w:val="008F29DD"/>
    <w:rsid w:val="008F6345"/>
    <w:rsid w:val="009066E9"/>
    <w:rsid w:val="0092271D"/>
    <w:rsid w:val="00931F87"/>
    <w:rsid w:val="00933862"/>
    <w:rsid w:val="00933EFD"/>
    <w:rsid w:val="00934989"/>
    <w:rsid w:val="00935733"/>
    <w:rsid w:val="0093645A"/>
    <w:rsid w:val="00950A05"/>
    <w:rsid w:val="00952191"/>
    <w:rsid w:val="0095623F"/>
    <w:rsid w:val="009609EA"/>
    <w:rsid w:val="00961564"/>
    <w:rsid w:val="00967F69"/>
    <w:rsid w:val="0097157D"/>
    <w:rsid w:val="00981F25"/>
    <w:rsid w:val="00983F36"/>
    <w:rsid w:val="009843F6"/>
    <w:rsid w:val="0098536E"/>
    <w:rsid w:val="00991539"/>
    <w:rsid w:val="00992308"/>
    <w:rsid w:val="00994855"/>
    <w:rsid w:val="009A3557"/>
    <w:rsid w:val="009A6793"/>
    <w:rsid w:val="009A6EC2"/>
    <w:rsid w:val="009B38CA"/>
    <w:rsid w:val="009C0955"/>
    <w:rsid w:val="009D4CAC"/>
    <w:rsid w:val="009E278B"/>
    <w:rsid w:val="00A00233"/>
    <w:rsid w:val="00A14B86"/>
    <w:rsid w:val="00A215DB"/>
    <w:rsid w:val="00A33F05"/>
    <w:rsid w:val="00A36036"/>
    <w:rsid w:val="00A37459"/>
    <w:rsid w:val="00A419C7"/>
    <w:rsid w:val="00A42FAA"/>
    <w:rsid w:val="00A51365"/>
    <w:rsid w:val="00A518CE"/>
    <w:rsid w:val="00A51A82"/>
    <w:rsid w:val="00A5782F"/>
    <w:rsid w:val="00A62FD3"/>
    <w:rsid w:val="00A71E77"/>
    <w:rsid w:val="00A8403D"/>
    <w:rsid w:val="00A87072"/>
    <w:rsid w:val="00A95BB7"/>
    <w:rsid w:val="00AA0DDA"/>
    <w:rsid w:val="00AA1A30"/>
    <w:rsid w:val="00AA1A5E"/>
    <w:rsid w:val="00AA1D13"/>
    <w:rsid w:val="00AA4360"/>
    <w:rsid w:val="00AB4B59"/>
    <w:rsid w:val="00AC63D5"/>
    <w:rsid w:val="00AD1505"/>
    <w:rsid w:val="00AD1E98"/>
    <w:rsid w:val="00AE2E99"/>
    <w:rsid w:val="00AE67B0"/>
    <w:rsid w:val="00AF36DA"/>
    <w:rsid w:val="00AF50CB"/>
    <w:rsid w:val="00AF5C91"/>
    <w:rsid w:val="00B02795"/>
    <w:rsid w:val="00B05AFD"/>
    <w:rsid w:val="00B135AD"/>
    <w:rsid w:val="00B166BB"/>
    <w:rsid w:val="00B22D4C"/>
    <w:rsid w:val="00B24019"/>
    <w:rsid w:val="00B24767"/>
    <w:rsid w:val="00B25B23"/>
    <w:rsid w:val="00B26BB0"/>
    <w:rsid w:val="00B32CC9"/>
    <w:rsid w:val="00B338FA"/>
    <w:rsid w:val="00B34608"/>
    <w:rsid w:val="00B37C86"/>
    <w:rsid w:val="00B40C0B"/>
    <w:rsid w:val="00B4243B"/>
    <w:rsid w:val="00B42D8B"/>
    <w:rsid w:val="00B44861"/>
    <w:rsid w:val="00B56212"/>
    <w:rsid w:val="00B562E1"/>
    <w:rsid w:val="00B56C41"/>
    <w:rsid w:val="00B5725D"/>
    <w:rsid w:val="00B73097"/>
    <w:rsid w:val="00B737D3"/>
    <w:rsid w:val="00B74768"/>
    <w:rsid w:val="00B748CE"/>
    <w:rsid w:val="00B74AAA"/>
    <w:rsid w:val="00B81C23"/>
    <w:rsid w:val="00B83526"/>
    <w:rsid w:val="00B840FD"/>
    <w:rsid w:val="00B90A0A"/>
    <w:rsid w:val="00B90ACB"/>
    <w:rsid w:val="00B9164F"/>
    <w:rsid w:val="00B93A14"/>
    <w:rsid w:val="00B955A4"/>
    <w:rsid w:val="00BA0353"/>
    <w:rsid w:val="00BA2066"/>
    <w:rsid w:val="00BA608C"/>
    <w:rsid w:val="00BA6E10"/>
    <w:rsid w:val="00BA7C17"/>
    <w:rsid w:val="00BA7F9E"/>
    <w:rsid w:val="00BB056B"/>
    <w:rsid w:val="00BB3E25"/>
    <w:rsid w:val="00BB55F6"/>
    <w:rsid w:val="00BC2E4F"/>
    <w:rsid w:val="00BE3388"/>
    <w:rsid w:val="00BE6AC5"/>
    <w:rsid w:val="00BE79F2"/>
    <w:rsid w:val="00BF34FB"/>
    <w:rsid w:val="00C0078F"/>
    <w:rsid w:val="00C0597D"/>
    <w:rsid w:val="00C16C0D"/>
    <w:rsid w:val="00C1745C"/>
    <w:rsid w:val="00C20F86"/>
    <w:rsid w:val="00C30317"/>
    <w:rsid w:val="00C41F66"/>
    <w:rsid w:val="00C444A4"/>
    <w:rsid w:val="00C453FA"/>
    <w:rsid w:val="00C55358"/>
    <w:rsid w:val="00C61739"/>
    <w:rsid w:val="00C62FE6"/>
    <w:rsid w:val="00C65E38"/>
    <w:rsid w:val="00C663CB"/>
    <w:rsid w:val="00C77C65"/>
    <w:rsid w:val="00C80649"/>
    <w:rsid w:val="00C80A24"/>
    <w:rsid w:val="00C83DFC"/>
    <w:rsid w:val="00C870C2"/>
    <w:rsid w:val="00C92583"/>
    <w:rsid w:val="00C92D06"/>
    <w:rsid w:val="00C95AEB"/>
    <w:rsid w:val="00C963F2"/>
    <w:rsid w:val="00CA225A"/>
    <w:rsid w:val="00CA298F"/>
    <w:rsid w:val="00CB7B9F"/>
    <w:rsid w:val="00CD221F"/>
    <w:rsid w:val="00CD4691"/>
    <w:rsid w:val="00CD4AF7"/>
    <w:rsid w:val="00CD7230"/>
    <w:rsid w:val="00CD7A2F"/>
    <w:rsid w:val="00CE0C31"/>
    <w:rsid w:val="00CE1684"/>
    <w:rsid w:val="00CE3E40"/>
    <w:rsid w:val="00CE6046"/>
    <w:rsid w:val="00CE6294"/>
    <w:rsid w:val="00D00497"/>
    <w:rsid w:val="00D12DEE"/>
    <w:rsid w:val="00D136D9"/>
    <w:rsid w:val="00D14807"/>
    <w:rsid w:val="00D220F1"/>
    <w:rsid w:val="00D33584"/>
    <w:rsid w:val="00D3624D"/>
    <w:rsid w:val="00D400B6"/>
    <w:rsid w:val="00D443F6"/>
    <w:rsid w:val="00D475E9"/>
    <w:rsid w:val="00D52342"/>
    <w:rsid w:val="00D526FE"/>
    <w:rsid w:val="00D60C63"/>
    <w:rsid w:val="00D63A1E"/>
    <w:rsid w:val="00D63DFE"/>
    <w:rsid w:val="00D74B41"/>
    <w:rsid w:val="00D86C95"/>
    <w:rsid w:val="00D87387"/>
    <w:rsid w:val="00D90BC5"/>
    <w:rsid w:val="00D90BF5"/>
    <w:rsid w:val="00D915F6"/>
    <w:rsid w:val="00D93DD7"/>
    <w:rsid w:val="00DB75B4"/>
    <w:rsid w:val="00DC0DA3"/>
    <w:rsid w:val="00DC10B5"/>
    <w:rsid w:val="00DC10CE"/>
    <w:rsid w:val="00DC24EA"/>
    <w:rsid w:val="00DC7FA1"/>
    <w:rsid w:val="00DD051F"/>
    <w:rsid w:val="00DD589B"/>
    <w:rsid w:val="00DE0BF2"/>
    <w:rsid w:val="00DF14F6"/>
    <w:rsid w:val="00DF6006"/>
    <w:rsid w:val="00DF7535"/>
    <w:rsid w:val="00E07620"/>
    <w:rsid w:val="00E149F4"/>
    <w:rsid w:val="00E15A9A"/>
    <w:rsid w:val="00E204DE"/>
    <w:rsid w:val="00E24A8B"/>
    <w:rsid w:val="00E34E75"/>
    <w:rsid w:val="00E37D1B"/>
    <w:rsid w:val="00E44526"/>
    <w:rsid w:val="00E44F9C"/>
    <w:rsid w:val="00E46AA8"/>
    <w:rsid w:val="00E53857"/>
    <w:rsid w:val="00E555F0"/>
    <w:rsid w:val="00E55E79"/>
    <w:rsid w:val="00E6078C"/>
    <w:rsid w:val="00E60A82"/>
    <w:rsid w:val="00E60A8C"/>
    <w:rsid w:val="00E62B12"/>
    <w:rsid w:val="00E65D43"/>
    <w:rsid w:val="00E670D1"/>
    <w:rsid w:val="00E67689"/>
    <w:rsid w:val="00E72A48"/>
    <w:rsid w:val="00E76B37"/>
    <w:rsid w:val="00E80139"/>
    <w:rsid w:val="00E874CE"/>
    <w:rsid w:val="00E91587"/>
    <w:rsid w:val="00E91604"/>
    <w:rsid w:val="00E94F52"/>
    <w:rsid w:val="00E95C72"/>
    <w:rsid w:val="00EA476F"/>
    <w:rsid w:val="00EB2D3F"/>
    <w:rsid w:val="00EC3F4D"/>
    <w:rsid w:val="00EC5639"/>
    <w:rsid w:val="00ED09EE"/>
    <w:rsid w:val="00ED7CD0"/>
    <w:rsid w:val="00EE0DDC"/>
    <w:rsid w:val="00EE5266"/>
    <w:rsid w:val="00EF485B"/>
    <w:rsid w:val="00EF76A0"/>
    <w:rsid w:val="00EF785D"/>
    <w:rsid w:val="00EF7CCC"/>
    <w:rsid w:val="00F141AA"/>
    <w:rsid w:val="00F14339"/>
    <w:rsid w:val="00F1579A"/>
    <w:rsid w:val="00F17F89"/>
    <w:rsid w:val="00F25976"/>
    <w:rsid w:val="00F26743"/>
    <w:rsid w:val="00F3305B"/>
    <w:rsid w:val="00F36099"/>
    <w:rsid w:val="00F4125B"/>
    <w:rsid w:val="00F42584"/>
    <w:rsid w:val="00F450CC"/>
    <w:rsid w:val="00F47EBA"/>
    <w:rsid w:val="00F521BF"/>
    <w:rsid w:val="00F5368D"/>
    <w:rsid w:val="00F70704"/>
    <w:rsid w:val="00F73A47"/>
    <w:rsid w:val="00F83F31"/>
    <w:rsid w:val="00F84160"/>
    <w:rsid w:val="00F87F93"/>
    <w:rsid w:val="00F916DC"/>
    <w:rsid w:val="00F937E3"/>
    <w:rsid w:val="00F95FC8"/>
    <w:rsid w:val="00FA3945"/>
    <w:rsid w:val="00FB208B"/>
    <w:rsid w:val="00FB32E5"/>
    <w:rsid w:val="00FB4C82"/>
    <w:rsid w:val="00FC01B6"/>
    <w:rsid w:val="00FC5A11"/>
    <w:rsid w:val="00FC6148"/>
    <w:rsid w:val="00FD0B66"/>
    <w:rsid w:val="00FD0CB3"/>
    <w:rsid w:val="00FD2BA2"/>
    <w:rsid w:val="00FD564A"/>
    <w:rsid w:val="00FD6479"/>
    <w:rsid w:val="00FD7CC7"/>
    <w:rsid w:val="00FE1F57"/>
    <w:rsid w:val="00FE5D1D"/>
    <w:rsid w:val="00FE62BC"/>
    <w:rsid w:val="00FE6F6F"/>
    <w:rsid w:val="00FF2517"/>
    <w:rsid w:val="00FF3494"/>
    <w:rsid w:val="0FE03B78"/>
    <w:rsid w:val="3331912F"/>
    <w:rsid w:val="7F45A29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74F4D"/>
  <w15:docId w15:val="{56D857A3-66B5-416F-8185-C810B449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45A"/>
    <w:pPr>
      <w:keepNext/>
      <w:keepLines/>
      <w:spacing w:before="240" w:after="0"/>
      <w:jc w:val="center"/>
      <w:outlineLvl w:val="0"/>
    </w:pPr>
    <w:rPr>
      <w:rFonts w:ascii="Arial" w:eastAsiaTheme="majorEastAsia" w:hAnsi="Arial" w:cstheme="majorBidi"/>
      <w:b/>
      <w:color w:val="083756"/>
      <w:sz w:val="32"/>
      <w:szCs w:val="32"/>
      <w:lang w:val="en-GB"/>
    </w:rPr>
  </w:style>
  <w:style w:type="paragraph" w:styleId="Heading2">
    <w:name w:val="heading 2"/>
    <w:basedOn w:val="Normal"/>
    <w:next w:val="Normal"/>
    <w:link w:val="Heading2Char"/>
    <w:uiPriority w:val="9"/>
    <w:unhideWhenUsed/>
    <w:qFormat/>
    <w:rsid w:val="0093645A"/>
    <w:pPr>
      <w:keepNext/>
      <w:keepLines/>
      <w:spacing w:before="40" w:after="0" w:line="240" w:lineRule="auto"/>
      <w:outlineLvl w:val="1"/>
    </w:pPr>
    <w:rPr>
      <w:rFonts w:ascii="Arial" w:eastAsiaTheme="majorEastAsia" w:hAnsi="Arial" w:cstheme="majorBidi"/>
      <w:b/>
      <w:color w:val="083756"/>
      <w:szCs w:val="26"/>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4160"/>
    <w:pPr>
      <w:autoSpaceDE w:val="0"/>
      <w:autoSpaceDN w:val="0"/>
      <w:adjustRightInd w:val="0"/>
      <w:spacing w:after="0" w:line="240" w:lineRule="auto"/>
    </w:pPr>
    <w:rPr>
      <w:rFonts w:ascii="Cambria" w:hAnsi="Cambria" w:cs="Cambria"/>
      <w:color w:val="000000"/>
      <w:sz w:val="24"/>
      <w:szCs w:val="24"/>
    </w:rPr>
  </w:style>
  <w:style w:type="character" w:customStyle="1" w:styleId="Heading2Char">
    <w:name w:val="Heading 2 Char"/>
    <w:basedOn w:val="DefaultParagraphFont"/>
    <w:link w:val="Heading2"/>
    <w:uiPriority w:val="9"/>
    <w:rsid w:val="0093645A"/>
    <w:rPr>
      <w:rFonts w:ascii="Arial" w:eastAsiaTheme="majorEastAsia" w:hAnsi="Arial" w:cstheme="majorBidi"/>
      <w:b/>
      <w:color w:val="083756"/>
      <w:szCs w:val="26"/>
      <w:u w:val="single"/>
      <w:lang w:val="en-GB"/>
    </w:rPr>
  </w:style>
  <w:style w:type="table" w:styleId="TableGrid">
    <w:name w:val="Table Grid"/>
    <w:basedOn w:val="TableNormal"/>
    <w:uiPriority w:val="59"/>
    <w:rsid w:val="00F84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645A"/>
    <w:rPr>
      <w:rFonts w:ascii="Arial" w:eastAsiaTheme="majorEastAsia" w:hAnsi="Arial" w:cstheme="majorBidi"/>
      <w:b/>
      <w:color w:val="083756"/>
      <w:sz w:val="32"/>
      <w:szCs w:val="32"/>
      <w:lang w:val="en-GB"/>
    </w:rPr>
  </w:style>
  <w:style w:type="paragraph" w:styleId="BalloonText">
    <w:name w:val="Balloon Text"/>
    <w:basedOn w:val="Normal"/>
    <w:link w:val="BalloonTextChar"/>
    <w:uiPriority w:val="99"/>
    <w:semiHidden/>
    <w:unhideWhenUsed/>
    <w:rsid w:val="00533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A5A"/>
    <w:rPr>
      <w:rFonts w:ascii="Tahoma" w:hAnsi="Tahoma" w:cs="Tahoma"/>
      <w:sz w:val="16"/>
      <w:szCs w:val="16"/>
    </w:rPr>
  </w:style>
  <w:style w:type="paragraph" w:styleId="ListParagraph">
    <w:name w:val="List Paragraph"/>
    <w:basedOn w:val="Normal"/>
    <w:uiPriority w:val="34"/>
    <w:qFormat/>
    <w:rsid w:val="00B05AFD"/>
    <w:pPr>
      <w:ind w:left="720"/>
      <w:contextualSpacing/>
    </w:pPr>
  </w:style>
  <w:style w:type="character" w:styleId="Hyperlink">
    <w:name w:val="Hyperlink"/>
    <w:basedOn w:val="DefaultParagraphFont"/>
    <w:uiPriority w:val="99"/>
    <w:unhideWhenUsed/>
    <w:rsid w:val="00933862"/>
    <w:rPr>
      <w:color w:val="0000FF" w:themeColor="hyperlink"/>
      <w:u w:val="single"/>
    </w:rPr>
  </w:style>
  <w:style w:type="paragraph" w:styleId="Header">
    <w:name w:val="header"/>
    <w:basedOn w:val="Normal"/>
    <w:link w:val="HeaderChar"/>
    <w:uiPriority w:val="99"/>
    <w:unhideWhenUsed/>
    <w:rsid w:val="00E149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149F4"/>
  </w:style>
  <w:style w:type="paragraph" w:styleId="Footer">
    <w:name w:val="footer"/>
    <w:basedOn w:val="Normal"/>
    <w:link w:val="FooterChar"/>
    <w:uiPriority w:val="99"/>
    <w:unhideWhenUsed/>
    <w:rsid w:val="00E149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149F4"/>
  </w:style>
  <w:style w:type="character" w:styleId="CommentReference">
    <w:name w:val="annotation reference"/>
    <w:basedOn w:val="DefaultParagraphFont"/>
    <w:uiPriority w:val="99"/>
    <w:semiHidden/>
    <w:unhideWhenUsed/>
    <w:rsid w:val="00CE3E40"/>
    <w:rPr>
      <w:sz w:val="16"/>
      <w:szCs w:val="16"/>
    </w:rPr>
  </w:style>
  <w:style w:type="paragraph" w:styleId="CommentText">
    <w:name w:val="annotation text"/>
    <w:basedOn w:val="Normal"/>
    <w:link w:val="CommentTextChar"/>
    <w:uiPriority w:val="99"/>
    <w:semiHidden/>
    <w:unhideWhenUsed/>
    <w:rsid w:val="00CE3E40"/>
    <w:pPr>
      <w:spacing w:line="240" w:lineRule="auto"/>
    </w:pPr>
    <w:rPr>
      <w:sz w:val="20"/>
      <w:szCs w:val="20"/>
    </w:rPr>
  </w:style>
  <w:style w:type="character" w:customStyle="1" w:styleId="CommentTextChar">
    <w:name w:val="Comment Text Char"/>
    <w:basedOn w:val="DefaultParagraphFont"/>
    <w:link w:val="CommentText"/>
    <w:uiPriority w:val="99"/>
    <w:semiHidden/>
    <w:rsid w:val="00CE3E40"/>
    <w:rPr>
      <w:sz w:val="20"/>
      <w:szCs w:val="20"/>
    </w:rPr>
  </w:style>
  <w:style w:type="paragraph" w:styleId="CommentSubject">
    <w:name w:val="annotation subject"/>
    <w:basedOn w:val="CommentText"/>
    <w:next w:val="CommentText"/>
    <w:link w:val="CommentSubjectChar"/>
    <w:uiPriority w:val="99"/>
    <w:semiHidden/>
    <w:unhideWhenUsed/>
    <w:rsid w:val="00CE3E40"/>
    <w:rPr>
      <w:b/>
      <w:bCs/>
    </w:rPr>
  </w:style>
  <w:style w:type="character" w:customStyle="1" w:styleId="CommentSubjectChar">
    <w:name w:val="Comment Subject Char"/>
    <w:basedOn w:val="CommentTextChar"/>
    <w:link w:val="CommentSubject"/>
    <w:uiPriority w:val="99"/>
    <w:semiHidden/>
    <w:rsid w:val="00CE3E40"/>
    <w:rPr>
      <w:b/>
      <w:bCs/>
      <w:sz w:val="20"/>
      <w:szCs w:val="20"/>
    </w:rPr>
  </w:style>
  <w:style w:type="character" w:styleId="FollowedHyperlink">
    <w:name w:val="FollowedHyperlink"/>
    <w:basedOn w:val="DefaultParagraphFont"/>
    <w:uiPriority w:val="99"/>
    <w:semiHidden/>
    <w:unhideWhenUsed/>
    <w:rsid w:val="00EC5639"/>
    <w:rPr>
      <w:color w:val="800080" w:themeColor="followedHyperlink"/>
      <w:u w:val="single"/>
    </w:rPr>
  </w:style>
  <w:style w:type="paragraph" w:styleId="FootnoteText">
    <w:name w:val="footnote text"/>
    <w:basedOn w:val="Normal"/>
    <w:link w:val="FootnoteTextChar"/>
    <w:uiPriority w:val="99"/>
    <w:semiHidden/>
    <w:unhideWhenUsed/>
    <w:rsid w:val="000E2D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2D87"/>
    <w:rPr>
      <w:sz w:val="20"/>
      <w:szCs w:val="20"/>
    </w:rPr>
  </w:style>
  <w:style w:type="character" w:styleId="FootnoteReference">
    <w:name w:val="footnote reference"/>
    <w:basedOn w:val="DefaultParagraphFont"/>
    <w:uiPriority w:val="99"/>
    <w:semiHidden/>
    <w:unhideWhenUsed/>
    <w:rsid w:val="000E2D87"/>
    <w:rPr>
      <w:vertAlign w:val="superscript"/>
    </w:rPr>
  </w:style>
  <w:style w:type="paragraph" w:styleId="Caption">
    <w:name w:val="caption"/>
    <w:basedOn w:val="Normal"/>
    <w:next w:val="Normal"/>
    <w:uiPriority w:val="35"/>
    <w:semiHidden/>
    <w:unhideWhenUsed/>
    <w:qFormat/>
    <w:rsid w:val="00622F0C"/>
    <w:pPr>
      <w:spacing w:line="240" w:lineRule="auto"/>
    </w:pPr>
    <w:rPr>
      <w:i/>
      <w:iCs/>
      <w:color w:val="1F497D" w:themeColor="text2"/>
      <w:sz w:val="18"/>
      <w:szCs w:val="18"/>
      <w:lang w:val="en-GB"/>
    </w:rPr>
  </w:style>
  <w:style w:type="character" w:customStyle="1" w:styleId="Onopgelostemelding1">
    <w:name w:val="Onopgeloste melding1"/>
    <w:basedOn w:val="DefaultParagraphFont"/>
    <w:uiPriority w:val="99"/>
    <w:semiHidden/>
    <w:unhideWhenUsed/>
    <w:rsid w:val="00DC10B5"/>
    <w:rPr>
      <w:color w:val="808080"/>
      <w:shd w:val="clear" w:color="auto" w:fill="E6E6E6"/>
    </w:rPr>
  </w:style>
  <w:style w:type="paragraph" w:styleId="Title">
    <w:name w:val="Title"/>
    <w:basedOn w:val="Normal"/>
    <w:next w:val="Normal"/>
    <w:link w:val="TitleChar"/>
    <w:uiPriority w:val="10"/>
    <w:qFormat/>
    <w:rsid w:val="005742AB"/>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742AB"/>
    <w:rPr>
      <w:rFonts w:asciiTheme="majorHAnsi" w:eastAsiaTheme="majorEastAsia" w:hAnsiTheme="majorHAnsi" w:cstheme="majorBidi"/>
      <w:spacing w:val="-10"/>
      <w:kern w:val="28"/>
      <w:sz w:val="56"/>
      <w:szCs w:val="56"/>
      <w:lang w:val="en-US"/>
    </w:rPr>
  </w:style>
  <w:style w:type="paragraph" w:styleId="NoSpacing">
    <w:name w:val="No Spacing"/>
    <w:uiPriority w:val="1"/>
    <w:qFormat/>
    <w:rsid w:val="00EF485B"/>
    <w:pPr>
      <w:spacing w:after="0" w:line="240" w:lineRule="auto"/>
      <w:jc w:val="both"/>
    </w:pPr>
    <w:rPr>
      <w:rFonts w:ascii="Arial" w:hAnsi="Arial"/>
      <w:color w:val="083756"/>
      <w:sz w:val="20"/>
      <w:lang w:val="en-GB"/>
    </w:rPr>
  </w:style>
  <w:style w:type="character" w:styleId="UnresolvedMention">
    <w:name w:val="Unresolved Mention"/>
    <w:basedOn w:val="DefaultParagraphFont"/>
    <w:uiPriority w:val="99"/>
    <w:semiHidden/>
    <w:unhideWhenUsed/>
    <w:rsid w:val="001B4097"/>
    <w:rPr>
      <w:color w:val="605E5C"/>
      <w:shd w:val="clear" w:color="auto" w:fill="E1DFDD"/>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basedOn w:val="DefaultParagraphFont"/>
    <w:link w:val="Lijstalinea1"/>
    <w:uiPriority w:val="34"/>
    <w:locked/>
    <w:rsid w:val="000668F4"/>
    <w:rPr>
      <w:rFonts w:ascii="Calibri" w:hAnsi="Calibri" w:cs="Calibri"/>
    </w:rPr>
  </w:style>
  <w:style w:type="paragraph" w:customStyle="1" w:styleId="Lijstalinea1">
    <w:name w:val="Lijstalinea1"/>
    <w:aliases w:val="Numbered Para 1,Dot pt,No Spacing1,List Paragraph Char Char Char,Indicator Text,List Paragraph1,Bullet Points,Bullet 1,MAIN CONTENT,List Paragraph12,F5 List Paragraph,Texto corrido,Lista viñetas,Task Body,Viñetas (Inicio Parrafo)"/>
    <w:basedOn w:val="Normal"/>
    <w:link w:val="ListParagraphChar"/>
    <w:uiPriority w:val="34"/>
    <w:rsid w:val="000668F4"/>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35303">
      <w:bodyDiv w:val="1"/>
      <w:marLeft w:val="0"/>
      <w:marRight w:val="0"/>
      <w:marTop w:val="0"/>
      <w:marBottom w:val="0"/>
      <w:divBdr>
        <w:top w:val="none" w:sz="0" w:space="0" w:color="auto"/>
        <w:left w:val="none" w:sz="0" w:space="0" w:color="auto"/>
        <w:bottom w:val="none" w:sz="0" w:space="0" w:color="auto"/>
        <w:right w:val="none" w:sz="0" w:space="0" w:color="auto"/>
      </w:divBdr>
      <w:divsChild>
        <w:div w:id="1237402124">
          <w:marLeft w:val="0"/>
          <w:marRight w:val="0"/>
          <w:marTop w:val="0"/>
          <w:marBottom w:val="0"/>
          <w:divBdr>
            <w:top w:val="none" w:sz="0" w:space="0" w:color="auto"/>
            <w:left w:val="none" w:sz="0" w:space="0" w:color="auto"/>
            <w:bottom w:val="none" w:sz="0" w:space="0" w:color="auto"/>
            <w:right w:val="none" w:sz="0" w:space="0" w:color="auto"/>
          </w:divBdr>
        </w:div>
        <w:div w:id="1888636832">
          <w:marLeft w:val="0"/>
          <w:marRight w:val="0"/>
          <w:marTop w:val="0"/>
          <w:marBottom w:val="0"/>
          <w:divBdr>
            <w:top w:val="none" w:sz="0" w:space="0" w:color="auto"/>
            <w:left w:val="none" w:sz="0" w:space="0" w:color="auto"/>
            <w:bottom w:val="none" w:sz="0" w:space="0" w:color="auto"/>
            <w:right w:val="none" w:sz="0" w:space="0" w:color="auto"/>
          </w:divBdr>
        </w:div>
        <w:div w:id="1310596429">
          <w:marLeft w:val="0"/>
          <w:marRight w:val="0"/>
          <w:marTop w:val="0"/>
          <w:marBottom w:val="0"/>
          <w:divBdr>
            <w:top w:val="none" w:sz="0" w:space="0" w:color="auto"/>
            <w:left w:val="none" w:sz="0" w:space="0" w:color="auto"/>
            <w:bottom w:val="none" w:sz="0" w:space="0" w:color="auto"/>
            <w:right w:val="none" w:sz="0" w:space="0" w:color="auto"/>
          </w:divBdr>
        </w:div>
      </w:divsChild>
    </w:div>
    <w:div w:id="591354111">
      <w:bodyDiv w:val="1"/>
      <w:marLeft w:val="0"/>
      <w:marRight w:val="0"/>
      <w:marTop w:val="0"/>
      <w:marBottom w:val="0"/>
      <w:divBdr>
        <w:top w:val="none" w:sz="0" w:space="0" w:color="auto"/>
        <w:left w:val="none" w:sz="0" w:space="0" w:color="auto"/>
        <w:bottom w:val="none" w:sz="0" w:space="0" w:color="auto"/>
        <w:right w:val="none" w:sz="0" w:space="0" w:color="auto"/>
      </w:divBdr>
    </w:div>
    <w:div w:id="772826334">
      <w:bodyDiv w:val="1"/>
      <w:marLeft w:val="0"/>
      <w:marRight w:val="0"/>
      <w:marTop w:val="0"/>
      <w:marBottom w:val="0"/>
      <w:divBdr>
        <w:top w:val="none" w:sz="0" w:space="0" w:color="auto"/>
        <w:left w:val="none" w:sz="0" w:space="0" w:color="auto"/>
        <w:bottom w:val="none" w:sz="0" w:space="0" w:color="auto"/>
        <w:right w:val="none" w:sz="0" w:space="0" w:color="auto"/>
      </w:divBdr>
    </w:div>
    <w:div w:id="802652151">
      <w:bodyDiv w:val="1"/>
      <w:marLeft w:val="0"/>
      <w:marRight w:val="0"/>
      <w:marTop w:val="0"/>
      <w:marBottom w:val="0"/>
      <w:divBdr>
        <w:top w:val="none" w:sz="0" w:space="0" w:color="auto"/>
        <w:left w:val="none" w:sz="0" w:space="0" w:color="auto"/>
        <w:bottom w:val="none" w:sz="0" w:space="0" w:color="auto"/>
        <w:right w:val="none" w:sz="0" w:space="0" w:color="auto"/>
      </w:divBdr>
    </w:div>
    <w:div w:id="925000354">
      <w:bodyDiv w:val="1"/>
      <w:marLeft w:val="0"/>
      <w:marRight w:val="0"/>
      <w:marTop w:val="0"/>
      <w:marBottom w:val="0"/>
      <w:divBdr>
        <w:top w:val="none" w:sz="0" w:space="0" w:color="auto"/>
        <w:left w:val="none" w:sz="0" w:space="0" w:color="auto"/>
        <w:bottom w:val="none" w:sz="0" w:space="0" w:color="auto"/>
        <w:right w:val="none" w:sz="0" w:space="0" w:color="auto"/>
      </w:divBdr>
    </w:div>
    <w:div w:id="937953653">
      <w:bodyDiv w:val="1"/>
      <w:marLeft w:val="0"/>
      <w:marRight w:val="0"/>
      <w:marTop w:val="0"/>
      <w:marBottom w:val="0"/>
      <w:divBdr>
        <w:top w:val="none" w:sz="0" w:space="0" w:color="auto"/>
        <w:left w:val="none" w:sz="0" w:space="0" w:color="auto"/>
        <w:bottom w:val="none" w:sz="0" w:space="0" w:color="auto"/>
        <w:right w:val="none" w:sz="0" w:space="0" w:color="auto"/>
      </w:divBdr>
    </w:div>
    <w:div w:id="990981693">
      <w:bodyDiv w:val="1"/>
      <w:marLeft w:val="0"/>
      <w:marRight w:val="0"/>
      <w:marTop w:val="0"/>
      <w:marBottom w:val="0"/>
      <w:divBdr>
        <w:top w:val="none" w:sz="0" w:space="0" w:color="auto"/>
        <w:left w:val="none" w:sz="0" w:space="0" w:color="auto"/>
        <w:bottom w:val="none" w:sz="0" w:space="0" w:color="auto"/>
        <w:right w:val="none" w:sz="0" w:space="0" w:color="auto"/>
      </w:divBdr>
    </w:div>
    <w:div w:id="1178540826">
      <w:bodyDiv w:val="1"/>
      <w:marLeft w:val="0"/>
      <w:marRight w:val="0"/>
      <w:marTop w:val="0"/>
      <w:marBottom w:val="0"/>
      <w:divBdr>
        <w:top w:val="none" w:sz="0" w:space="0" w:color="auto"/>
        <w:left w:val="none" w:sz="0" w:space="0" w:color="auto"/>
        <w:bottom w:val="none" w:sz="0" w:space="0" w:color="auto"/>
        <w:right w:val="none" w:sz="0" w:space="0" w:color="auto"/>
      </w:divBdr>
    </w:div>
    <w:div w:id="1369449069">
      <w:bodyDiv w:val="1"/>
      <w:marLeft w:val="0"/>
      <w:marRight w:val="0"/>
      <w:marTop w:val="0"/>
      <w:marBottom w:val="0"/>
      <w:divBdr>
        <w:top w:val="none" w:sz="0" w:space="0" w:color="auto"/>
        <w:left w:val="none" w:sz="0" w:space="0" w:color="auto"/>
        <w:bottom w:val="none" w:sz="0" w:space="0" w:color="auto"/>
        <w:right w:val="none" w:sz="0" w:space="0" w:color="auto"/>
      </w:divBdr>
    </w:div>
    <w:div w:id="1459839555">
      <w:bodyDiv w:val="1"/>
      <w:marLeft w:val="0"/>
      <w:marRight w:val="0"/>
      <w:marTop w:val="0"/>
      <w:marBottom w:val="0"/>
      <w:divBdr>
        <w:top w:val="none" w:sz="0" w:space="0" w:color="auto"/>
        <w:left w:val="none" w:sz="0" w:space="0" w:color="auto"/>
        <w:bottom w:val="none" w:sz="0" w:space="0" w:color="auto"/>
        <w:right w:val="none" w:sz="0" w:space="0" w:color="auto"/>
      </w:divBdr>
    </w:div>
    <w:div w:id="1505246583">
      <w:bodyDiv w:val="1"/>
      <w:marLeft w:val="0"/>
      <w:marRight w:val="0"/>
      <w:marTop w:val="0"/>
      <w:marBottom w:val="0"/>
      <w:divBdr>
        <w:top w:val="none" w:sz="0" w:space="0" w:color="auto"/>
        <w:left w:val="none" w:sz="0" w:space="0" w:color="auto"/>
        <w:bottom w:val="none" w:sz="0" w:space="0" w:color="auto"/>
        <w:right w:val="none" w:sz="0" w:space="0" w:color="auto"/>
      </w:divBdr>
    </w:div>
    <w:div w:id="1701588759">
      <w:bodyDiv w:val="1"/>
      <w:marLeft w:val="0"/>
      <w:marRight w:val="0"/>
      <w:marTop w:val="0"/>
      <w:marBottom w:val="0"/>
      <w:divBdr>
        <w:top w:val="none" w:sz="0" w:space="0" w:color="auto"/>
        <w:left w:val="none" w:sz="0" w:space="0" w:color="auto"/>
        <w:bottom w:val="none" w:sz="0" w:space="0" w:color="auto"/>
        <w:right w:val="none" w:sz="0" w:space="0" w:color="auto"/>
      </w:divBdr>
    </w:div>
    <w:div w:id="1718627978">
      <w:bodyDiv w:val="1"/>
      <w:marLeft w:val="0"/>
      <w:marRight w:val="0"/>
      <w:marTop w:val="0"/>
      <w:marBottom w:val="0"/>
      <w:divBdr>
        <w:top w:val="none" w:sz="0" w:space="0" w:color="auto"/>
        <w:left w:val="none" w:sz="0" w:space="0" w:color="auto"/>
        <w:bottom w:val="none" w:sz="0" w:space="0" w:color="auto"/>
        <w:right w:val="none" w:sz="0" w:space="0" w:color="auto"/>
      </w:divBdr>
    </w:div>
    <w:div w:id="194819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iff"/><Relationship Id="rId18" Type="http://schemas.openxmlformats.org/officeDocument/2006/relationships/hyperlink" Target="mailto:yi.ouyang@ugent.b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ds@centexbel.be" TargetMode="External"/><Relationship Id="rId17" Type="http://schemas.openxmlformats.org/officeDocument/2006/relationships/hyperlink" Target="mailto:yoshi.marien@uantwerpen.be" TargetMode="External"/><Relationship Id="rId2" Type="http://schemas.openxmlformats.org/officeDocument/2006/relationships/customXml" Target="../customXml/item2.xml"/><Relationship Id="rId16" Type="http://schemas.openxmlformats.org/officeDocument/2006/relationships/hyperlink" Target="mailto:christophe.vandevelde@uantwerpen.be" TargetMode="External"/><Relationship Id="rId20" Type="http://schemas.openxmlformats.org/officeDocument/2006/relationships/hyperlink" Target="mailto:guy.vanassche@vub.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ieter.billen@uantwerpen.b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oost.brancart@vub.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953F1A55A6E24DA271218E40769763" ma:contentTypeVersion="4" ma:contentTypeDescription="Create a new document." ma:contentTypeScope="" ma:versionID="0a66f683d5da1775f58ba7f1d08d8506">
  <xsd:schema xmlns:xsd="http://www.w3.org/2001/XMLSchema" xmlns:xs="http://www.w3.org/2001/XMLSchema" xmlns:p="http://schemas.microsoft.com/office/2006/metadata/properties" xmlns:ns2="8059485e-b631-4909-bec5-86c8d8f633d7" targetNamespace="http://schemas.microsoft.com/office/2006/metadata/properties" ma:root="true" ma:fieldsID="cc4d4dbaa74461ca1b06ac30643671ae" ns2:_="">
    <xsd:import namespace="8059485e-b631-4909-bec5-86c8d8f633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9485e-b631-4909-bec5-86c8d8f63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125F9-F834-49D5-B314-99C6FB8EC969}">
  <ds:schemaRefs>
    <ds:schemaRef ds:uri="http://schemas.microsoft.com/sharepoint/v3/contenttype/forms"/>
  </ds:schemaRefs>
</ds:datastoreItem>
</file>

<file path=customXml/itemProps2.xml><?xml version="1.0" encoding="utf-8"?>
<ds:datastoreItem xmlns:ds="http://schemas.openxmlformats.org/officeDocument/2006/customXml" ds:itemID="{A77A1F1D-E723-4DC6-8978-969FEFC9D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9485e-b631-4909-bec5-86c8d8f63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BCC7E-D269-4DAB-A2FD-A9723F3C77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59482D-A6B3-4A0C-8312-06DED640F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4630</Words>
  <Characters>25470</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
    </vt:vector>
  </TitlesOfParts>
  <Company>VITO</Company>
  <LinksUpToDate>false</LinksUpToDate>
  <CharactersWithSpaces>30040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D'Hondt Els</dc:creator>
  <cp:keywords/>
  <cp:lastModifiedBy>Bert Boekaerts</cp:lastModifiedBy>
  <cp:revision>19</cp:revision>
  <dcterms:created xsi:type="dcterms:W3CDTF">2026-04-03T08:29:00Z</dcterms:created>
  <dcterms:modified xsi:type="dcterms:W3CDTF">2026-04-08T13:12:00Z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0x010100CE953F1A55A6E24DA271218E40769763</vt:lpwstr>
  </property>
  <property fmtid="{D5CDD505-2E9C-101B-9397-08002B2CF9AE}" pid="3" name="MediaServiceImageTags">
    <vt:lpwstr/>
  </property>
  <property fmtid="{D5CDD505-2E9C-101B-9397-08002B2CF9AE}" pid="4" name="GrammarlyDocumentId">
    <vt:lpwstr>7053d6b9a28abbd585825a747c2374670118368a433be1c75521a2575ec373de</vt:lpwstr>
  </property>
</Properties>
</file>